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6" w:type="dxa"/>
        <w:tblInd w:w="-34" w:type="dxa"/>
        <w:tblLook w:val="00A0"/>
      </w:tblPr>
      <w:tblGrid>
        <w:gridCol w:w="3686"/>
        <w:gridCol w:w="5670"/>
      </w:tblGrid>
      <w:tr w:rsidR="00C2022E" w:rsidRPr="008F458D" w:rsidTr="0098488D">
        <w:trPr>
          <w:trHeight w:val="709"/>
        </w:trPr>
        <w:tc>
          <w:tcPr>
            <w:tcW w:w="3686" w:type="dxa"/>
          </w:tcPr>
          <w:p w:rsidR="00C2022E" w:rsidRPr="0028450A" w:rsidRDefault="00C2022E" w:rsidP="00430A54">
            <w:pPr>
              <w:jc w:val="center"/>
              <w:rPr>
                <w:b/>
                <w:sz w:val="26"/>
                <w:szCs w:val="26"/>
              </w:rPr>
            </w:pPr>
            <w:r>
              <w:br w:type="page"/>
            </w:r>
            <w:r>
              <w:br w:type="page"/>
            </w:r>
            <w:r w:rsidRPr="0028450A">
              <w:rPr>
                <w:b/>
                <w:sz w:val="26"/>
                <w:szCs w:val="26"/>
              </w:rPr>
              <w:t>BỘ TÀI CHÍNH</w:t>
            </w:r>
          </w:p>
          <w:p w:rsidR="00C2022E" w:rsidRPr="009D025B" w:rsidRDefault="00944F6A" w:rsidP="00430A54">
            <w:pPr>
              <w:jc w:val="center"/>
              <w:rPr>
                <w:b/>
                <w:sz w:val="24"/>
              </w:rPr>
            </w:pPr>
            <w:r w:rsidRPr="00944F6A">
              <w:rPr>
                <w:noProof/>
                <w:lang w:val="vi-VN" w:eastAsia="vi-VN"/>
              </w:rPr>
              <w:pict>
                <v:shapetype id="_x0000_t32" coordsize="21600,21600" o:spt="32" o:oned="t" path="m,l21600,21600e" filled="f">
                  <v:path arrowok="t" fillok="f" o:connecttype="none"/>
                  <o:lock v:ext="edit" shapetype="t"/>
                </v:shapetype>
                <v:shape id="_x0000_s1026" type="#_x0000_t32" style="position:absolute;left:0;text-align:left;margin-left:67pt;margin-top:2.2pt;width:42.75pt;height:.05pt;z-index:251658240" o:connectortype="straight"/>
              </w:pict>
            </w:r>
          </w:p>
          <w:p w:rsidR="00C2022E" w:rsidRPr="00BA031D" w:rsidRDefault="00C2022E" w:rsidP="00430A54">
            <w:pPr>
              <w:jc w:val="center"/>
              <w:rPr>
                <w:sz w:val="24"/>
              </w:rPr>
            </w:pPr>
          </w:p>
        </w:tc>
        <w:tc>
          <w:tcPr>
            <w:tcW w:w="5670" w:type="dxa"/>
          </w:tcPr>
          <w:p w:rsidR="00C2022E" w:rsidRPr="0028450A" w:rsidRDefault="00C2022E" w:rsidP="00430A54">
            <w:pPr>
              <w:jc w:val="center"/>
              <w:rPr>
                <w:b/>
                <w:sz w:val="26"/>
                <w:szCs w:val="26"/>
              </w:rPr>
            </w:pPr>
            <w:r w:rsidRPr="0028450A">
              <w:rPr>
                <w:b/>
                <w:sz w:val="26"/>
                <w:szCs w:val="26"/>
              </w:rPr>
              <w:t xml:space="preserve">CỘNG HÒA XÃ HỘI CHỦ NGHĨA VIỆT </w:t>
            </w:r>
            <w:smartTag w:uri="urn:schemas-microsoft-com:office:smarttags" w:element="place">
              <w:smartTag w:uri="urn:schemas-microsoft-com:office:smarttags" w:element="country-region">
                <w:r w:rsidRPr="0028450A">
                  <w:rPr>
                    <w:b/>
                    <w:sz w:val="26"/>
                    <w:szCs w:val="26"/>
                  </w:rPr>
                  <w:t>NAM</w:t>
                </w:r>
              </w:smartTag>
            </w:smartTag>
          </w:p>
          <w:p w:rsidR="00C2022E" w:rsidRPr="0028450A" w:rsidRDefault="00944F6A" w:rsidP="00430A54">
            <w:pPr>
              <w:jc w:val="center"/>
              <w:rPr>
                <w:b/>
              </w:rPr>
            </w:pPr>
            <w:r w:rsidRPr="00944F6A">
              <w:rPr>
                <w:noProof/>
                <w:lang w:val="vi-VN" w:eastAsia="vi-VN"/>
              </w:rPr>
              <w:pict>
                <v:shape id="_x0000_s1027" type="#_x0000_t32" style="position:absolute;left:0;text-align:left;margin-left:50.75pt;margin-top:19.45pt;width:171.85pt;height:0;z-index:251659264" o:connectortype="straight"/>
              </w:pict>
            </w:r>
            <w:proofErr w:type="spellStart"/>
            <w:r w:rsidR="00C2022E">
              <w:rPr>
                <w:b/>
              </w:rPr>
              <w:t>Độc</w:t>
            </w:r>
            <w:proofErr w:type="spellEnd"/>
            <w:r w:rsidR="00C2022E">
              <w:rPr>
                <w:b/>
              </w:rPr>
              <w:t xml:space="preserve"> </w:t>
            </w:r>
            <w:proofErr w:type="spellStart"/>
            <w:r w:rsidR="00C2022E">
              <w:rPr>
                <w:b/>
              </w:rPr>
              <w:t>lập</w:t>
            </w:r>
            <w:proofErr w:type="spellEnd"/>
            <w:r w:rsidR="00C2022E">
              <w:rPr>
                <w:b/>
              </w:rPr>
              <w:t xml:space="preserve"> – </w:t>
            </w:r>
            <w:proofErr w:type="spellStart"/>
            <w:r w:rsidR="00C2022E">
              <w:rPr>
                <w:b/>
              </w:rPr>
              <w:t>Tự</w:t>
            </w:r>
            <w:proofErr w:type="spellEnd"/>
            <w:r w:rsidR="00C2022E">
              <w:rPr>
                <w:b/>
              </w:rPr>
              <w:t xml:space="preserve"> do – </w:t>
            </w:r>
            <w:proofErr w:type="spellStart"/>
            <w:r w:rsidR="00C2022E">
              <w:rPr>
                <w:b/>
              </w:rPr>
              <w:t>Hạnh</w:t>
            </w:r>
            <w:proofErr w:type="spellEnd"/>
            <w:r w:rsidR="00C2022E">
              <w:rPr>
                <w:b/>
              </w:rPr>
              <w:t xml:space="preserve"> </w:t>
            </w:r>
            <w:proofErr w:type="spellStart"/>
            <w:r w:rsidR="00C2022E">
              <w:rPr>
                <w:b/>
              </w:rPr>
              <w:t>phúc</w:t>
            </w:r>
            <w:proofErr w:type="spellEnd"/>
          </w:p>
        </w:tc>
      </w:tr>
      <w:tr w:rsidR="00C2022E" w:rsidRPr="008F458D" w:rsidTr="0098488D">
        <w:trPr>
          <w:trHeight w:val="1417"/>
        </w:trPr>
        <w:tc>
          <w:tcPr>
            <w:tcW w:w="3686" w:type="dxa"/>
          </w:tcPr>
          <w:p w:rsidR="00C2022E" w:rsidRDefault="00C2022E" w:rsidP="00430A54">
            <w:pPr>
              <w:jc w:val="center"/>
              <w:rPr>
                <w:sz w:val="26"/>
              </w:rPr>
            </w:pPr>
            <w:proofErr w:type="spellStart"/>
            <w:r>
              <w:rPr>
                <w:sz w:val="26"/>
              </w:rPr>
              <w:t>Số</w:t>
            </w:r>
            <w:proofErr w:type="spellEnd"/>
            <w:r>
              <w:rPr>
                <w:sz w:val="26"/>
              </w:rPr>
              <w:t xml:space="preserve">: </w:t>
            </w:r>
            <w:r w:rsidR="00026AEF">
              <w:rPr>
                <w:sz w:val="26"/>
              </w:rPr>
              <w:t>526</w:t>
            </w:r>
            <w:r>
              <w:rPr>
                <w:sz w:val="26"/>
              </w:rPr>
              <w:t>/BTC-TCDN</w:t>
            </w:r>
          </w:p>
          <w:p w:rsidR="00C2022E" w:rsidRDefault="00C2022E" w:rsidP="00C42CDE">
            <w:pPr>
              <w:jc w:val="center"/>
            </w:pPr>
            <w:r w:rsidRPr="009D025B">
              <w:rPr>
                <w:sz w:val="24"/>
              </w:rPr>
              <w:t xml:space="preserve">V/v </w:t>
            </w:r>
            <w:proofErr w:type="spellStart"/>
            <w:r>
              <w:rPr>
                <w:sz w:val="24"/>
              </w:rPr>
              <w:t>lấy</w:t>
            </w:r>
            <w:proofErr w:type="spellEnd"/>
            <w:r>
              <w:rPr>
                <w:sz w:val="24"/>
              </w:rPr>
              <w:t xml:space="preserve"> ý </w:t>
            </w:r>
            <w:proofErr w:type="spellStart"/>
            <w:r>
              <w:rPr>
                <w:sz w:val="24"/>
              </w:rPr>
              <w:t>kiến</w:t>
            </w:r>
            <w:proofErr w:type="spellEnd"/>
            <w:r>
              <w:rPr>
                <w:sz w:val="24"/>
              </w:rPr>
              <w:t xml:space="preserve"> </w:t>
            </w:r>
            <w:proofErr w:type="spellStart"/>
            <w:r>
              <w:rPr>
                <w:sz w:val="24"/>
              </w:rPr>
              <w:t>thẩm</w:t>
            </w:r>
            <w:proofErr w:type="spellEnd"/>
            <w:r>
              <w:rPr>
                <w:sz w:val="24"/>
              </w:rPr>
              <w:t xml:space="preserve"> </w:t>
            </w:r>
            <w:proofErr w:type="spellStart"/>
            <w:r>
              <w:rPr>
                <w:sz w:val="24"/>
              </w:rPr>
              <w:t>định</w:t>
            </w:r>
            <w:proofErr w:type="spellEnd"/>
            <w:r w:rsidRPr="00E96AC8">
              <w:rPr>
                <w:sz w:val="24"/>
              </w:rPr>
              <w:t xml:space="preserve"> </w:t>
            </w:r>
            <w:proofErr w:type="spellStart"/>
            <w:r w:rsidR="00C42CDE">
              <w:rPr>
                <w:sz w:val="24"/>
              </w:rPr>
              <w:t>đối</w:t>
            </w:r>
            <w:proofErr w:type="spellEnd"/>
            <w:r w:rsidR="00C42CDE">
              <w:rPr>
                <w:sz w:val="24"/>
              </w:rPr>
              <w:t xml:space="preserve"> </w:t>
            </w:r>
            <w:proofErr w:type="spellStart"/>
            <w:r w:rsidR="00C42CDE">
              <w:rPr>
                <w:sz w:val="24"/>
              </w:rPr>
              <w:t>với</w:t>
            </w:r>
            <w:proofErr w:type="spellEnd"/>
            <w:r w:rsidR="00C42CDE">
              <w:rPr>
                <w:sz w:val="24"/>
              </w:rPr>
              <w:t xml:space="preserve"> </w:t>
            </w:r>
            <w:proofErr w:type="spellStart"/>
            <w:r w:rsidR="00C42CDE">
              <w:rPr>
                <w:sz w:val="24"/>
              </w:rPr>
              <w:t>dự</w:t>
            </w:r>
            <w:proofErr w:type="spellEnd"/>
            <w:r w:rsidR="00C42CDE">
              <w:rPr>
                <w:sz w:val="24"/>
              </w:rPr>
              <w:t xml:space="preserve"> </w:t>
            </w:r>
            <w:proofErr w:type="spellStart"/>
            <w:r w:rsidR="00C42CDE">
              <w:rPr>
                <w:sz w:val="24"/>
              </w:rPr>
              <w:t>thảo</w:t>
            </w:r>
            <w:proofErr w:type="spellEnd"/>
            <w:r w:rsidR="00C42CDE">
              <w:rPr>
                <w:sz w:val="24"/>
              </w:rPr>
              <w:t xml:space="preserve"> </w:t>
            </w:r>
            <w:r>
              <w:rPr>
                <w:sz w:val="24"/>
                <w:lang w:val="nl-NL"/>
              </w:rPr>
              <w:t>Quy</w:t>
            </w:r>
            <w:r w:rsidRPr="0098488D">
              <w:rPr>
                <w:sz w:val="24"/>
                <w:lang w:val="nl-NL"/>
              </w:rPr>
              <w:t>ết</w:t>
            </w:r>
            <w:r>
              <w:rPr>
                <w:sz w:val="24"/>
                <w:lang w:val="nl-NL"/>
              </w:rPr>
              <w:t xml:space="preserve"> </w:t>
            </w:r>
            <w:r w:rsidRPr="0098488D">
              <w:rPr>
                <w:sz w:val="24"/>
                <w:lang w:val="nl-NL"/>
              </w:rPr>
              <w:t>định</w:t>
            </w:r>
            <w:r>
              <w:rPr>
                <w:sz w:val="24"/>
                <w:lang w:val="nl-NL"/>
              </w:rPr>
              <w:t xml:space="preserve"> </w:t>
            </w:r>
            <w:r w:rsidR="00C42CDE">
              <w:rPr>
                <w:sz w:val="24"/>
                <w:lang w:val="nl-NL"/>
              </w:rPr>
              <w:t>của Thủ tướng Chính phủ</w:t>
            </w:r>
          </w:p>
        </w:tc>
        <w:tc>
          <w:tcPr>
            <w:tcW w:w="5670" w:type="dxa"/>
          </w:tcPr>
          <w:p w:rsidR="00C2022E" w:rsidRDefault="00C2022E" w:rsidP="00430A54">
            <w:pPr>
              <w:jc w:val="center"/>
              <w:rPr>
                <w:i/>
              </w:rPr>
            </w:pPr>
            <w:proofErr w:type="spellStart"/>
            <w:r w:rsidRPr="00864477">
              <w:rPr>
                <w:i/>
              </w:rPr>
              <w:t>Hà</w:t>
            </w:r>
            <w:proofErr w:type="spellEnd"/>
            <w:r w:rsidRPr="00864477">
              <w:rPr>
                <w:i/>
              </w:rPr>
              <w:t xml:space="preserve"> </w:t>
            </w:r>
            <w:proofErr w:type="spellStart"/>
            <w:r w:rsidRPr="00864477">
              <w:rPr>
                <w:i/>
              </w:rPr>
              <w:t>Nộ</w:t>
            </w:r>
            <w:r>
              <w:rPr>
                <w:i/>
              </w:rPr>
              <w:t>i</w:t>
            </w:r>
            <w:proofErr w:type="spellEnd"/>
            <w:r>
              <w:rPr>
                <w:i/>
              </w:rPr>
              <w:t xml:space="preserve">, </w:t>
            </w:r>
            <w:proofErr w:type="spellStart"/>
            <w:r>
              <w:rPr>
                <w:i/>
              </w:rPr>
              <w:t>ngày</w:t>
            </w:r>
            <w:proofErr w:type="spellEnd"/>
            <w:r>
              <w:rPr>
                <w:i/>
              </w:rPr>
              <w:t xml:space="preserve"> </w:t>
            </w:r>
            <w:r w:rsidR="00026AEF">
              <w:rPr>
                <w:i/>
              </w:rPr>
              <w:t>15</w:t>
            </w:r>
            <w:r w:rsidRPr="00864477">
              <w:rPr>
                <w:i/>
              </w:rPr>
              <w:t xml:space="preserve"> </w:t>
            </w:r>
            <w:proofErr w:type="spellStart"/>
            <w:r w:rsidRPr="00864477">
              <w:rPr>
                <w:i/>
              </w:rPr>
              <w:t>tháng</w:t>
            </w:r>
            <w:proofErr w:type="spellEnd"/>
            <w:r>
              <w:rPr>
                <w:i/>
              </w:rPr>
              <w:t xml:space="preserve"> </w:t>
            </w:r>
            <w:r w:rsidR="00026AEF">
              <w:rPr>
                <w:i/>
              </w:rPr>
              <w:t>01</w:t>
            </w:r>
            <w:r>
              <w:rPr>
                <w:i/>
              </w:rPr>
              <w:t xml:space="preserve"> </w:t>
            </w:r>
            <w:proofErr w:type="spellStart"/>
            <w:r w:rsidRPr="00864477">
              <w:rPr>
                <w:i/>
              </w:rPr>
              <w:t>năm</w:t>
            </w:r>
            <w:proofErr w:type="spellEnd"/>
            <w:r w:rsidRPr="00864477">
              <w:rPr>
                <w:i/>
              </w:rPr>
              <w:t xml:space="preserve"> 20</w:t>
            </w:r>
            <w:r w:rsidR="002A0658">
              <w:rPr>
                <w:i/>
              </w:rPr>
              <w:t>20</w:t>
            </w:r>
          </w:p>
          <w:p w:rsidR="00C2022E" w:rsidRPr="00864477" w:rsidRDefault="00C2022E" w:rsidP="00430A54">
            <w:pPr>
              <w:jc w:val="center"/>
              <w:rPr>
                <w:b/>
                <w:sz w:val="24"/>
              </w:rPr>
            </w:pPr>
          </w:p>
        </w:tc>
      </w:tr>
    </w:tbl>
    <w:p w:rsidR="00C2022E" w:rsidRPr="00C42CDE" w:rsidRDefault="00C2022E" w:rsidP="00C42CDE"/>
    <w:p w:rsidR="00C2022E" w:rsidRPr="00E321A7" w:rsidRDefault="00C2022E" w:rsidP="00BB05CB">
      <w:pPr>
        <w:jc w:val="center"/>
        <w:rPr>
          <w:sz w:val="6"/>
        </w:rPr>
      </w:pPr>
    </w:p>
    <w:p w:rsidR="00C2022E" w:rsidRDefault="00C2022E" w:rsidP="00F510A8">
      <w:pPr>
        <w:jc w:val="center"/>
      </w:pPr>
      <w:proofErr w:type="spellStart"/>
      <w:r w:rsidRPr="009702DE">
        <w:t>Kính</w:t>
      </w:r>
      <w:proofErr w:type="spellEnd"/>
      <w:r w:rsidRPr="009702DE">
        <w:t xml:space="preserve"> </w:t>
      </w:r>
      <w:proofErr w:type="spellStart"/>
      <w:r w:rsidRPr="009702DE">
        <w:t>gửi</w:t>
      </w:r>
      <w:proofErr w:type="spellEnd"/>
      <w:r w:rsidRPr="009702DE">
        <w:t xml:space="preserve">: </w:t>
      </w:r>
      <w:proofErr w:type="spellStart"/>
      <w:r>
        <w:t>Bộ</w:t>
      </w:r>
      <w:proofErr w:type="spellEnd"/>
      <w:r>
        <w:t xml:space="preserve"> </w:t>
      </w:r>
      <w:proofErr w:type="spellStart"/>
      <w:r>
        <w:t>Tư</w:t>
      </w:r>
      <w:proofErr w:type="spellEnd"/>
      <w:r>
        <w:t xml:space="preserve"> </w:t>
      </w:r>
      <w:proofErr w:type="spellStart"/>
      <w:r>
        <w:t>pháp</w:t>
      </w:r>
      <w:proofErr w:type="spellEnd"/>
      <w:r>
        <w:t>.</w:t>
      </w:r>
    </w:p>
    <w:p w:rsidR="00C2022E" w:rsidRDefault="00C2022E" w:rsidP="00F510A8">
      <w:pPr>
        <w:jc w:val="center"/>
      </w:pPr>
    </w:p>
    <w:p w:rsidR="00C42CDE" w:rsidRDefault="00C42CDE" w:rsidP="00F510A8">
      <w:pPr>
        <w:jc w:val="center"/>
      </w:pPr>
    </w:p>
    <w:p w:rsidR="00C2022E" w:rsidRPr="005A79EA" w:rsidRDefault="00C2022E" w:rsidP="00CF3C8F">
      <w:pPr>
        <w:spacing w:before="120"/>
        <w:ind w:firstLine="720"/>
        <w:jc w:val="both"/>
        <w:rPr>
          <w:lang w:val="nl-NL"/>
        </w:rPr>
      </w:pPr>
      <w:r>
        <w:rPr>
          <w:lang w:val="nl-NL"/>
        </w:rPr>
        <w:t xml:space="preserve">1. </w:t>
      </w:r>
      <w:r w:rsidRPr="005A79EA">
        <w:rPr>
          <w:lang w:val="nl-NL"/>
        </w:rPr>
        <w:t xml:space="preserve">Ngày 08/11/2013 Thủ tướng Chính phủ ban hành Quyết định số 2081/QĐ-TTg phê duyệt Chương trình cấp điện nông thôn, miền núi và hải đảo giai đoạn 2013 </w:t>
      </w:r>
      <w:r w:rsidR="005C7F14">
        <w:rPr>
          <w:lang w:val="nl-NL"/>
        </w:rPr>
        <w:t>-</w:t>
      </w:r>
      <w:r w:rsidRPr="005A79EA">
        <w:rPr>
          <w:lang w:val="nl-NL"/>
        </w:rPr>
        <w:t xml:space="preserve"> 2020</w:t>
      </w:r>
      <w:r w:rsidR="005C7F14">
        <w:rPr>
          <w:lang w:val="nl-NL"/>
        </w:rPr>
        <w:t xml:space="preserve"> (</w:t>
      </w:r>
      <w:r w:rsidR="005C7F14" w:rsidRPr="005A79EA">
        <w:rPr>
          <w:lang w:val="nl-NL"/>
        </w:rPr>
        <w:t>Quyết định số 2081/QĐ-TTg</w:t>
      </w:r>
      <w:r w:rsidR="005C7F14">
        <w:rPr>
          <w:lang w:val="nl-NL"/>
        </w:rPr>
        <w:t>)</w:t>
      </w:r>
      <w:r w:rsidRPr="005A79EA">
        <w:rPr>
          <w:lang w:val="nl-NL"/>
        </w:rPr>
        <w:t>, trong đó:</w:t>
      </w:r>
    </w:p>
    <w:p w:rsidR="00C2022E" w:rsidRPr="005A79EA" w:rsidRDefault="00C2022E" w:rsidP="00CF3C8F">
      <w:pPr>
        <w:spacing w:before="120"/>
        <w:jc w:val="both"/>
        <w:rPr>
          <w:lang w:val="nl-NL"/>
        </w:rPr>
      </w:pPr>
      <w:r w:rsidRPr="005A79EA">
        <w:rPr>
          <w:lang w:val="nl-NL"/>
        </w:rPr>
        <w:tab/>
        <w:t>- Tại điểm d khoản 6 Điều 1 Quyết định số 2081/QĐ-TTg quy định: “</w:t>
      </w:r>
      <w:r w:rsidRPr="005A79EA">
        <w:rPr>
          <w:i/>
          <w:lang w:val="nl-NL"/>
        </w:rPr>
        <w:t>Đối với các dự án đầu tư cấp điện từ lưới điện quốc gia: Giao Tập đoàn Điện lực Việt Nam tiếp nhận vốn, tài sản sau đầu tư, quản lý vận hành và bán điện đến hộ gia đình theo các quy định hiện hành.</w:t>
      </w:r>
      <w:r w:rsidRPr="005A79EA">
        <w:rPr>
          <w:lang w:val="nl-NL"/>
        </w:rPr>
        <w:t>”</w:t>
      </w:r>
    </w:p>
    <w:p w:rsidR="00C2022E" w:rsidRPr="005A79EA" w:rsidRDefault="00C2022E" w:rsidP="00CF3C8F">
      <w:pPr>
        <w:spacing w:before="120"/>
        <w:jc w:val="both"/>
        <w:rPr>
          <w:lang w:val="nl-NL"/>
        </w:rPr>
      </w:pPr>
      <w:r w:rsidRPr="005A79EA">
        <w:rPr>
          <w:lang w:val="nl-NL"/>
        </w:rPr>
        <w:tab/>
        <w:t>- Tại khoản 6 Điều 2 Quyết định số 2081/QĐ-TTg, Thủ tướng Chính phủ giao Tập đoàn Điện lực Việt Nam (EVN): “</w:t>
      </w:r>
      <w:r w:rsidRPr="005A79EA">
        <w:rPr>
          <w:i/>
          <w:lang w:val="nl-NL"/>
        </w:rPr>
        <w:t>Đối với các dự án cấp điện nông thôn từ lưới điện quốc gia do Uỷ ban nhân dân (UBND) tỉnh làm chủ đầu tư: Thực hiện tiếp nhận, tổ chức quản lý vận hành, bán điện đến hộ dân sau khi các dự án thành phần được hoàn thành, đưa vào sử dụng; tổ chức tiếp nhận vốn, tài sản sau khi các dự án thành phần được quyết toán</w:t>
      </w:r>
      <w:r w:rsidRPr="005A79EA">
        <w:rPr>
          <w:lang w:val="nl-NL"/>
        </w:rPr>
        <w:t>.”</w:t>
      </w:r>
    </w:p>
    <w:p w:rsidR="00C2022E" w:rsidRDefault="00C2022E" w:rsidP="00CF3C8F">
      <w:pPr>
        <w:spacing w:before="120"/>
        <w:ind w:firstLine="720"/>
        <w:jc w:val="both"/>
        <w:rPr>
          <w:lang w:val="nl-NL"/>
        </w:rPr>
      </w:pPr>
      <w:r w:rsidRPr="005A79EA">
        <w:rPr>
          <w:lang w:val="nl-NL"/>
        </w:rPr>
        <w:t>- Tại khoản 3 Điều 2 Quyết định số 2081/QĐ-TTg, Thủ tướng Chính phủ giao Bộ Tài chính: “</w:t>
      </w:r>
      <w:r w:rsidRPr="005A79EA">
        <w:rPr>
          <w:i/>
          <w:lang w:val="nl-NL"/>
        </w:rPr>
        <w:t>Chủ trì, phối hợp với các Bộ, cơ quan liên quan hướng dẫn việc bàn giao, tiếp nhận vốn, tài sản và hoàn trả vốn đối với các dự án cấp điện nông thôn</w:t>
      </w:r>
      <w:r w:rsidRPr="005A79EA">
        <w:rPr>
          <w:lang w:val="nl-NL"/>
        </w:rPr>
        <w:t>.”</w:t>
      </w:r>
    </w:p>
    <w:p w:rsidR="00C42CDE" w:rsidRPr="0023425B" w:rsidRDefault="00C42CDE" w:rsidP="00C42CDE">
      <w:pPr>
        <w:spacing w:before="120" w:after="120"/>
        <w:ind w:firstLine="720"/>
        <w:jc w:val="both"/>
        <w:rPr>
          <w:lang w:val="nl-NL"/>
        </w:rPr>
      </w:pPr>
      <w:r w:rsidRPr="0023425B">
        <w:rPr>
          <w:lang w:val="nl-NL"/>
        </w:rPr>
        <w:t xml:space="preserve">Ngày 13/12/2018, Thủ tướng Chính phủ tiếp tục ban hành Quyết định số 1740/QĐ-TTg phê duyệt Chương trình mục tiêu cấp điện nông thôn, miền núi và hải đảo giai đoạn 2016 </w:t>
      </w:r>
      <w:r w:rsidR="005C7F14">
        <w:rPr>
          <w:lang w:val="nl-NL"/>
        </w:rPr>
        <w:t>-</w:t>
      </w:r>
      <w:r w:rsidRPr="0023425B">
        <w:rPr>
          <w:lang w:val="nl-NL"/>
        </w:rPr>
        <w:t xml:space="preserve"> 2020</w:t>
      </w:r>
      <w:r w:rsidR="005C7F14">
        <w:rPr>
          <w:lang w:val="nl-NL"/>
        </w:rPr>
        <w:t xml:space="preserve"> (</w:t>
      </w:r>
      <w:r w:rsidR="005C7F14" w:rsidRPr="0023425B">
        <w:rPr>
          <w:lang w:val="nl-NL"/>
        </w:rPr>
        <w:t>Quyết định số 1740/QĐ-TTg</w:t>
      </w:r>
      <w:r w:rsidR="005C7F14">
        <w:rPr>
          <w:lang w:val="nl-NL"/>
        </w:rPr>
        <w:t>)</w:t>
      </w:r>
      <w:r w:rsidRPr="0023425B">
        <w:rPr>
          <w:lang w:val="nl-NL"/>
        </w:rPr>
        <w:t>. Trong đó:</w:t>
      </w:r>
    </w:p>
    <w:p w:rsidR="00C42CDE" w:rsidRPr="0023425B" w:rsidRDefault="00C42CDE" w:rsidP="00C42CDE">
      <w:pPr>
        <w:spacing w:before="120" w:after="120"/>
        <w:ind w:firstLine="720"/>
        <w:jc w:val="both"/>
        <w:rPr>
          <w:lang w:val="nl-NL"/>
        </w:rPr>
      </w:pPr>
      <w:r w:rsidRPr="0023425B">
        <w:rPr>
          <w:lang w:val="nl-NL"/>
        </w:rPr>
        <w:t>- Tại khoản 3 Điều 1 Quyết định số 1740/QĐ-TTg có nêu phạm vi của Chương trình:</w:t>
      </w:r>
    </w:p>
    <w:p w:rsidR="00C42CDE" w:rsidRPr="0023425B" w:rsidRDefault="00C42CDE" w:rsidP="00C42CDE">
      <w:pPr>
        <w:pStyle w:val="NormalWeb"/>
        <w:shd w:val="clear" w:color="auto" w:fill="FFFFFF"/>
        <w:spacing w:before="120" w:beforeAutospacing="0" w:after="120" w:afterAutospacing="0"/>
        <w:ind w:firstLine="720"/>
        <w:jc w:val="both"/>
        <w:rPr>
          <w:i/>
          <w:color w:val="000000"/>
          <w:sz w:val="28"/>
          <w:szCs w:val="28"/>
          <w:lang w:val="nl-NL"/>
        </w:rPr>
      </w:pPr>
      <w:r w:rsidRPr="0023425B">
        <w:rPr>
          <w:i/>
          <w:sz w:val="28"/>
          <w:szCs w:val="28"/>
          <w:lang w:val="nl-NL"/>
        </w:rPr>
        <w:t>“</w:t>
      </w:r>
      <w:r w:rsidRPr="0023425B">
        <w:rPr>
          <w:i/>
          <w:color w:val="000000"/>
          <w:sz w:val="28"/>
          <w:szCs w:val="28"/>
          <w:lang w:val="nl-NL"/>
        </w:rPr>
        <w:t xml:space="preserve">Thực hiện trên địa bàn 48 tỉnh, thành phố trực thuộc trung ương theo </w:t>
      </w:r>
      <w:r w:rsidRPr="0023425B">
        <w:rPr>
          <w:i/>
          <w:color w:val="000000"/>
          <w:sz w:val="28"/>
          <w:szCs w:val="28"/>
          <w:u w:val="single"/>
          <w:lang w:val="nl-NL"/>
        </w:rPr>
        <w:t>Quyết định số</w:t>
      </w:r>
      <w:r w:rsidRPr="0023425B">
        <w:rPr>
          <w:rStyle w:val="apple-converted-space"/>
          <w:i/>
          <w:color w:val="000000"/>
          <w:sz w:val="28"/>
          <w:szCs w:val="28"/>
          <w:u w:val="single"/>
          <w:lang w:val="nl-NL"/>
        </w:rPr>
        <w:t> </w:t>
      </w:r>
      <w:hyperlink r:id="rId7" w:tgtFrame="_blank" w:tooltip="Quyết định 2081/QĐ-TTg" w:history="1">
        <w:r w:rsidRPr="0023425B">
          <w:rPr>
            <w:rStyle w:val="Hyperlink"/>
            <w:i/>
            <w:color w:val="000000" w:themeColor="text1"/>
            <w:sz w:val="28"/>
            <w:szCs w:val="28"/>
            <w:lang w:val="nl-NL"/>
          </w:rPr>
          <w:t>2081/QĐ-TTg</w:t>
        </w:r>
      </w:hyperlink>
      <w:r w:rsidRPr="0023425B">
        <w:rPr>
          <w:i/>
          <w:color w:val="000000"/>
          <w:sz w:val="28"/>
          <w:szCs w:val="28"/>
          <w:lang w:val="nl-NL"/>
        </w:rPr>
        <w:t xml:space="preserve"> ngày 08 tháng 11 năm 2013 của Thủ tướng Chính phủ, trọng tâm là khu vực nông thôn miền núi, vùng sâu, vùng xa, biên giới và hải đảo, vùng đồng bào dân tộc ít người, vùng có điều kiện kinh tế - xã hội đặc biệt khó khăn.</w:t>
      </w:r>
    </w:p>
    <w:p w:rsidR="00C42CDE" w:rsidRPr="0023425B" w:rsidRDefault="00C42CDE" w:rsidP="00C42CDE">
      <w:pPr>
        <w:pStyle w:val="NormalWeb"/>
        <w:shd w:val="clear" w:color="auto" w:fill="FFFFFF"/>
        <w:spacing w:before="120" w:beforeAutospacing="0" w:after="120" w:afterAutospacing="0"/>
        <w:ind w:firstLine="720"/>
        <w:jc w:val="both"/>
        <w:rPr>
          <w:i/>
          <w:color w:val="000000"/>
          <w:sz w:val="28"/>
          <w:szCs w:val="28"/>
          <w:lang w:val="nl-NL"/>
        </w:rPr>
      </w:pPr>
      <w:r w:rsidRPr="0023425B">
        <w:rPr>
          <w:i/>
          <w:color w:val="000000"/>
          <w:sz w:val="28"/>
          <w:szCs w:val="28"/>
          <w:lang w:val="nl-NL"/>
        </w:rPr>
        <w:t>Thực hiện việc cấp điện cho các trạm bơm quy mô vừa và nhỏ, kết hợp với việc cấp điện cho các hộ dân nông thôn và các vùng nuôi trồng thủy sản tại 13 tỉnh khu vực đồng bằng sông Cửu Long.</w:t>
      </w:r>
    </w:p>
    <w:p w:rsidR="00C42CDE" w:rsidRPr="0023425B" w:rsidRDefault="00C42CDE" w:rsidP="00C42CDE">
      <w:pPr>
        <w:pStyle w:val="NormalWeb"/>
        <w:shd w:val="clear" w:color="auto" w:fill="FFFFFF"/>
        <w:spacing w:before="120" w:beforeAutospacing="0" w:after="120" w:afterAutospacing="0"/>
        <w:ind w:firstLine="720"/>
        <w:jc w:val="both"/>
        <w:rPr>
          <w:i/>
          <w:color w:val="000000"/>
          <w:sz w:val="28"/>
          <w:szCs w:val="28"/>
          <w:lang w:val="nl-NL"/>
        </w:rPr>
      </w:pPr>
      <w:r w:rsidRPr="0023425B">
        <w:rPr>
          <w:i/>
          <w:color w:val="000000"/>
          <w:sz w:val="28"/>
          <w:szCs w:val="28"/>
          <w:lang w:val="nl-NL"/>
        </w:rPr>
        <w:lastRenderedPageBreak/>
        <w:t>Cấp điện lưới quốc gia hoặc các nguồn điện năng lượng tái tạo cho các đảo tiền tiêu, trọng yếu về quốc phòng, an ninh chủ quyền biển đảo của Tổ quốc, đồng thời tạo động lực cho việc phát triển kinh tế, xã hội trên các đảo.”</w:t>
      </w:r>
    </w:p>
    <w:p w:rsidR="00C42CDE" w:rsidRPr="00C42CDE" w:rsidRDefault="00C42CDE" w:rsidP="00C42CDE">
      <w:pPr>
        <w:spacing w:before="120" w:after="120"/>
        <w:ind w:firstLine="720"/>
        <w:jc w:val="both"/>
        <w:rPr>
          <w:i/>
          <w:lang w:val="nl-NL"/>
        </w:rPr>
      </w:pPr>
      <w:r w:rsidRPr="00C42CDE">
        <w:rPr>
          <w:lang w:val="nl-NL"/>
        </w:rPr>
        <w:t xml:space="preserve">- Tại điểm b khoản 6 Điều 1 Quyết định số 1740/QĐ-TTg có nêu về công tác quản lý vận hành sau đầu tư: </w:t>
      </w:r>
      <w:r w:rsidRPr="00C42CDE">
        <w:rPr>
          <w:i/>
          <w:lang w:val="nl-NL"/>
        </w:rPr>
        <w:t>“</w:t>
      </w:r>
      <w:r w:rsidRPr="00C42CDE">
        <w:rPr>
          <w:i/>
          <w:color w:val="000000"/>
          <w:shd w:val="clear" w:color="auto" w:fill="FFFFFF"/>
          <w:lang w:val="nl-NL"/>
        </w:rPr>
        <w:t>Đối với các dự án cấp điện từ lưới điện quốc gia do các địa phương thực hiện: sau khi hoàn thành, giao EVN chỉ đạo các công ty điện lực thành viên tiếp nhận vốn, tài sản sau đầu tư, quản lý vận hành và bán điện đến hộ dân theo các quy định hiện hành. Việc bàn giao công trình được thực hiện ngay khi hoàn thành và đưa công trình vào vận hành.”</w:t>
      </w:r>
    </w:p>
    <w:p w:rsidR="00C42CDE" w:rsidRPr="005A79EA" w:rsidRDefault="00C42CDE" w:rsidP="00C42CDE">
      <w:pPr>
        <w:spacing w:before="120"/>
        <w:ind w:firstLine="720"/>
        <w:jc w:val="both"/>
        <w:rPr>
          <w:lang w:val="nl-NL"/>
        </w:rPr>
      </w:pPr>
      <w:r w:rsidRPr="0023425B">
        <w:rPr>
          <w:lang w:val="nl-NL"/>
        </w:rPr>
        <w:t xml:space="preserve">- Tại khoản 3 Điều 2 Quyết định số 1740/QĐ-TTg, Thủ tướng Chính phủ giao Bộ Tài chính: </w:t>
      </w:r>
      <w:r w:rsidRPr="0023425B">
        <w:rPr>
          <w:i/>
          <w:lang w:val="nl-NL"/>
        </w:rPr>
        <w:t>“</w:t>
      </w:r>
      <w:r w:rsidRPr="00C24A57">
        <w:rPr>
          <w:i/>
          <w:color w:val="000000"/>
          <w:shd w:val="clear" w:color="auto" w:fill="FFFFFF"/>
          <w:lang w:val="nl-NL"/>
        </w:rPr>
        <w:t>Chủ trì, phối hợp với các bộ, cơ quan liên quan hướng dẫn việc bàn giao, tiếp nhận vốn, tài sản và hoàn trả vốn đầu tư các dự án thành phần.”</w:t>
      </w:r>
    </w:p>
    <w:p w:rsidR="00C2022E" w:rsidRDefault="00C2022E" w:rsidP="00CF3C8F">
      <w:pPr>
        <w:spacing w:before="120"/>
        <w:ind w:firstLine="720"/>
        <w:jc w:val="both"/>
        <w:rPr>
          <w:lang w:val="nl-NL"/>
        </w:rPr>
      </w:pPr>
      <w:r>
        <w:rPr>
          <w:lang w:val="nl-NL"/>
        </w:rPr>
        <w:t>2. T</w:t>
      </w:r>
      <w:r w:rsidRPr="005A79EA">
        <w:rPr>
          <w:lang w:val="nl-NL"/>
        </w:rPr>
        <w:t>heo quy định của Luật ban hành văn bản quy phạm pháp luật năm 2015 thì Thông tư của Bộ trưởng không được quy định thủ tục hành chính, trong khi các nội dung hướng dẫn việc bàn giao</w:t>
      </w:r>
      <w:r>
        <w:rPr>
          <w:lang w:val="nl-NL"/>
        </w:rPr>
        <w:t xml:space="preserve"> dự án cấp điện nông thôn</w:t>
      </w:r>
      <w:r w:rsidRPr="005A79EA">
        <w:rPr>
          <w:lang w:val="nl-NL"/>
        </w:rPr>
        <w:t xml:space="preserve"> có phát sinh các thủ tục h</w:t>
      </w:r>
      <w:r>
        <w:rPr>
          <w:lang w:val="nl-NL"/>
        </w:rPr>
        <w:t>ành chính (Biên bản giao nhận, Hồ sơ tài sản bàn giao lập theo mẫu)</w:t>
      </w:r>
      <w:r w:rsidRPr="005A79EA">
        <w:rPr>
          <w:lang w:val="nl-NL"/>
        </w:rPr>
        <w:t xml:space="preserve">, do đó Bộ </w:t>
      </w:r>
      <w:r>
        <w:rPr>
          <w:lang w:val="nl-NL"/>
        </w:rPr>
        <w:t xml:space="preserve">Tài chính đã </w:t>
      </w:r>
      <w:r w:rsidRPr="005A79EA">
        <w:rPr>
          <w:lang w:val="nl-NL"/>
        </w:rPr>
        <w:t xml:space="preserve">báo cáo Thủ tướng Chính phủ </w:t>
      </w:r>
      <w:r>
        <w:rPr>
          <w:lang w:val="nl-NL"/>
        </w:rPr>
        <w:t xml:space="preserve">cho phép </w:t>
      </w:r>
      <w:r w:rsidRPr="005A79EA">
        <w:rPr>
          <w:lang w:val="nl-NL"/>
        </w:rPr>
        <w:t>ban hành Quyết đị</w:t>
      </w:r>
      <w:r>
        <w:rPr>
          <w:lang w:val="nl-NL"/>
        </w:rPr>
        <w:t>nh</w:t>
      </w:r>
      <w:r w:rsidRPr="005A79EA">
        <w:rPr>
          <w:lang w:val="nl-NL"/>
        </w:rPr>
        <w:t xml:space="preserve"> hướng dẫn bàn giao, tiếp nhận vốn, tài sản và hoàn trả vốn đối với các dự án cấp điện nông thôn</w:t>
      </w:r>
      <w:r>
        <w:rPr>
          <w:lang w:val="nl-NL"/>
        </w:rPr>
        <w:t xml:space="preserve"> từ lưới điện quốc gia</w:t>
      </w:r>
      <w:r w:rsidRPr="005A79EA">
        <w:rPr>
          <w:lang w:val="nl-NL"/>
        </w:rPr>
        <w:t xml:space="preserve"> (theo Quyết định số 2081/QĐ-TTg).</w:t>
      </w:r>
      <w:r>
        <w:rPr>
          <w:lang w:val="nl-NL"/>
        </w:rPr>
        <w:t xml:space="preserve"> </w:t>
      </w:r>
    </w:p>
    <w:p w:rsidR="00C2022E" w:rsidRDefault="00C2022E" w:rsidP="00CF3C8F">
      <w:pPr>
        <w:spacing w:before="120"/>
        <w:ind w:firstLine="720"/>
        <w:jc w:val="both"/>
        <w:rPr>
          <w:lang w:val="nl-NL"/>
        </w:rPr>
      </w:pPr>
      <w:r>
        <w:rPr>
          <w:lang w:val="nl-NL"/>
        </w:rPr>
        <w:t>- N</w:t>
      </w:r>
      <w:r w:rsidRPr="007A4384">
        <w:rPr>
          <w:lang w:val="nl-NL"/>
        </w:rPr>
        <w:t>gày 17/01/2018</w:t>
      </w:r>
      <w:r w:rsidR="005C7F14">
        <w:rPr>
          <w:lang w:val="nl-NL"/>
        </w:rPr>
        <w:t>,</w:t>
      </w:r>
      <w:r w:rsidRPr="007A4384">
        <w:rPr>
          <w:lang w:val="nl-NL"/>
        </w:rPr>
        <w:t xml:space="preserve"> Bộ Tài chính có công văn số 678/BTC-TCDN</w:t>
      </w:r>
      <w:r>
        <w:rPr>
          <w:lang w:val="nl-NL"/>
        </w:rPr>
        <w:t xml:space="preserve"> gửi Thủ tướng Chính phủ</w:t>
      </w:r>
      <w:r w:rsidRPr="007A4384">
        <w:rPr>
          <w:lang w:val="nl-NL"/>
        </w:rPr>
        <w:t xml:space="preserve"> xin ý kiến xây dựng Quyết định của Thủ tướng Chính phủ hướng dẫn việc bàn giao, tiếp nhận vốn, tài sản, h</w:t>
      </w:r>
      <w:r>
        <w:rPr>
          <w:lang w:val="nl-NL"/>
        </w:rPr>
        <w:t>o</w:t>
      </w:r>
      <w:r w:rsidRPr="007A4384">
        <w:rPr>
          <w:lang w:val="nl-NL"/>
        </w:rPr>
        <w:t xml:space="preserve">àn trả vốn đối với các dự án cấp điện nông thôn. </w:t>
      </w:r>
    </w:p>
    <w:p w:rsidR="00C2022E" w:rsidRDefault="00C2022E" w:rsidP="00CF3C8F">
      <w:pPr>
        <w:spacing w:before="120"/>
        <w:ind w:firstLine="720"/>
        <w:jc w:val="both"/>
        <w:rPr>
          <w:lang w:val="nl-NL"/>
        </w:rPr>
      </w:pPr>
      <w:r>
        <w:rPr>
          <w:lang w:val="nl-NL"/>
        </w:rPr>
        <w:t>-</w:t>
      </w:r>
      <w:r w:rsidRPr="007A4384">
        <w:rPr>
          <w:lang w:val="nl-NL"/>
        </w:rPr>
        <w:t xml:space="preserve"> Ngày 13/3/2018</w:t>
      </w:r>
      <w:r w:rsidR="005C7F14">
        <w:rPr>
          <w:lang w:val="nl-NL"/>
        </w:rPr>
        <w:t>,</w:t>
      </w:r>
      <w:r w:rsidRPr="007A4384">
        <w:rPr>
          <w:lang w:val="nl-NL"/>
        </w:rPr>
        <w:t xml:space="preserve"> Thủ tướng Chính phủ đã đồng ý với đề nghị của Bộ Tài chính và giao Bộ Tài chính chủ trì, phối hợp với các cơ quan liên quan xây dựng dự thảo Quyết định của Thủ tướng Chính phủ hướng dẫn việc bàn giao, tiếp nhận vốn, tài sản và hoàn trả vốn đối với các dự án cấp điện nông thôn</w:t>
      </w:r>
      <w:r>
        <w:rPr>
          <w:lang w:val="nl-NL"/>
        </w:rPr>
        <w:t>,</w:t>
      </w:r>
      <w:r w:rsidRPr="007A4384">
        <w:rPr>
          <w:lang w:val="nl-NL"/>
        </w:rPr>
        <w:t xml:space="preserve"> trình Thủ tướng Chính phủ</w:t>
      </w:r>
      <w:r>
        <w:rPr>
          <w:lang w:val="nl-NL"/>
        </w:rPr>
        <w:t xml:space="preserve"> ban hành</w:t>
      </w:r>
      <w:r w:rsidRPr="007A4384">
        <w:rPr>
          <w:lang w:val="nl-NL"/>
        </w:rPr>
        <w:t xml:space="preserve"> theo đúng quy định của Luật ban hành văn bản quy phạm pháp luật và Nghị định hướng dẫn thi hành.</w:t>
      </w:r>
    </w:p>
    <w:p w:rsidR="00C42CDE" w:rsidRDefault="00C2022E" w:rsidP="00C42CDE">
      <w:pPr>
        <w:spacing w:before="120" w:after="120"/>
        <w:ind w:firstLine="720"/>
        <w:jc w:val="both"/>
        <w:rPr>
          <w:rFonts w:eastAsia="Arial"/>
          <w:lang w:val="nl-NL"/>
        </w:rPr>
      </w:pPr>
      <w:r>
        <w:rPr>
          <w:lang w:val="nl-NL"/>
        </w:rPr>
        <w:t xml:space="preserve">3. </w:t>
      </w:r>
      <w:r w:rsidRPr="007A4384">
        <w:rPr>
          <w:lang w:val="nl-NL"/>
        </w:rPr>
        <w:t>Thực hiện chỉ đạo của Thủ tướng Chính phủ</w:t>
      </w:r>
      <w:r>
        <w:rPr>
          <w:lang w:val="nl-NL"/>
        </w:rPr>
        <w:t xml:space="preserve">, </w:t>
      </w:r>
      <w:r w:rsidR="00C42CDE">
        <w:rPr>
          <w:rFonts w:eastAsia="Arial"/>
          <w:lang w:val="nl-NL"/>
        </w:rPr>
        <w:t>ngày 5/9/2019, Bộ Tài chính đã có các văn bản gửi lấy ý kiến của các cơ quan, đơn vị liên quan đối với dự thảo Quyết định, cụ thể:</w:t>
      </w:r>
    </w:p>
    <w:p w:rsidR="00C42CDE" w:rsidRDefault="00C42CDE" w:rsidP="00C42CDE">
      <w:pPr>
        <w:spacing w:before="120" w:after="120"/>
        <w:ind w:firstLine="720"/>
        <w:jc w:val="both"/>
        <w:rPr>
          <w:rFonts w:eastAsia="Arial"/>
          <w:lang w:val="nl-NL"/>
        </w:rPr>
      </w:pPr>
      <w:r>
        <w:rPr>
          <w:rFonts w:eastAsia="Arial"/>
          <w:lang w:val="nl-NL"/>
        </w:rPr>
        <w:t>- Văn bản số 10407/BTC-TCDN ngày 5/9/2019 gửi lấy ý kiến tham gia của Bộ Tư pháp, Bộ Kế hoạch và Đầu tư, Bộ Công Thương, Ủy ban Quản lý vốn nhà nước tại doanh nghiệp, 48 UBND các tỉnh/thành phố trong danh sách kèm theo Quyết định số 2081/QĐ-TTg;</w:t>
      </w:r>
    </w:p>
    <w:p w:rsidR="00C42CDE" w:rsidRDefault="00C42CDE" w:rsidP="00C42CDE">
      <w:pPr>
        <w:spacing w:before="120" w:after="120"/>
        <w:ind w:firstLine="720"/>
        <w:jc w:val="both"/>
        <w:rPr>
          <w:rFonts w:eastAsia="Arial"/>
          <w:lang w:val="nl-NL"/>
        </w:rPr>
      </w:pPr>
      <w:r>
        <w:rPr>
          <w:rFonts w:eastAsia="Arial"/>
          <w:lang w:val="nl-NL"/>
        </w:rPr>
        <w:t>- Văn bản số 10408/BTC-TCD ngày 5/9/2019 gửi lấy ý kiến tham gia của Văn phòng Chính phủ;</w:t>
      </w:r>
    </w:p>
    <w:p w:rsidR="00C42CDE" w:rsidRDefault="00C42CDE" w:rsidP="00C42CDE">
      <w:pPr>
        <w:spacing w:before="120" w:after="120"/>
        <w:ind w:firstLine="720"/>
        <w:jc w:val="both"/>
        <w:rPr>
          <w:rFonts w:eastAsia="Arial"/>
          <w:lang w:val="nl-NL"/>
        </w:rPr>
      </w:pPr>
      <w:r>
        <w:rPr>
          <w:rFonts w:eastAsia="Arial"/>
          <w:lang w:val="nl-NL"/>
        </w:rPr>
        <w:t>- Văn bản số 10585/BTC-TCDN ngày 10/9/2019 gửi lấy kiến tham gia của Tập đoàn Điện lực Việt Nam.</w:t>
      </w:r>
    </w:p>
    <w:p w:rsidR="00C42CDE" w:rsidRDefault="00C42CDE" w:rsidP="00C42CDE">
      <w:pPr>
        <w:spacing w:before="120"/>
        <w:ind w:firstLine="720"/>
        <w:jc w:val="both"/>
        <w:rPr>
          <w:lang w:val="nl-NL"/>
        </w:rPr>
      </w:pPr>
      <w:r>
        <w:rPr>
          <w:rFonts w:eastAsia="Arial"/>
          <w:lang w:val="nl-NL"/>
        </w:rPr>
        <w:lastRenderedPageBreak/>
        <w:t>Đồng thời, dự thảo Quyết định đã được đăng tải trên Cổng thông tin điện tử Chính phủ và Cổng thông tin điện tử của Bộ Tài chính từ ngày 5/9/2019 để lấy ý kiến rộng rãi của các cá nhân, tổ chức theo quy định của Luật ban hành văn bản quy phạm pháp luật (phải đăng công khai lấy ý kiến trong tối thiểu 60 ngày).</w:t>
      </w:r>
    </w:p>
    <w:p w:rsidR="00C2022E" w:rsidRDefault="00C2022E" w:rsidP="00CF3C8F">
      <w:pPr>
        <w:spacing w:before="120"/>
        <w:ind w:firstLine="720"/>
        <w:jc w:val="both"/>
        <w:rPr>
          <w:lang w:val="nl-NL"/>
        </w:rPr>
      </w:pPr>
      <w:r w:rsidRPr="007A4384">
        <w:rPr>
          <w:lang w:val="nl-NL"/>
        </w:rPr>
        <w:t xml:space="preserve">Sau khi </w:t>
      </w:r>
      <w:r w:rsidR="00C42CDE">
        <w:rPr>
          <w:lang w:val="nl-NL"/>
        </w:rPr>
        <w:t>nhận được</w:t>
      </w:r>
      <w:r w:rsidRPr="007A4384">
        <w:rPr>
          <w:lang w:val="nl-NL"/>
        </w:rPr>
        <w:t xml:space="preserve"> ý kiến đóng góp c</w:t>
      </w:r>
      <w:r>
        <w:rPr>
          <w:lang w:val="nl-NL"/>
        </w:rPr>
        <w:t xml:space="preserve">ủa </w:t>
      </w:r>
      <w:r w:rsidRPr="007A4384">
        <w:rPr>
          <w:lang w:val="nl-NL"/>
        </w:rPr>
        <w:t>Bộ</w:t>
      </w:r>
      <w:r>
        <w:rPr>
          <w:lang w:val="nl-NL"/>
        </w:rPr>
        <w:t xml:space="preserve"> </w:t>
      </w:r>
      <w:r w:rsidR="00C42CDE">
        <w:rPr>
          <w:lang w:val="nl-NL"/>
        </w:rPr>
        <w:t xml:space="preserve">Tư pháp, Bộ </w:t>
      </w:r>
      <w:r>
        <w:rPr>
          <w:lang w:val="nl-NL"/>
        </w:rPr>
        <w:t>Công Thương (</w:t>
      </w:r>
      <w:r w:rsidR="00C24A57">
        <w:rPr>
          <w:lang w:val="nl-NL"/>
        </w:rPr>
        <w:t xml:space="preserve">Văn phòng Chính phủ, </w:t>
      </w:r>
      <w:r>
        <w:rPr>
          <w:lang w:val="nl-NL"/>
        </w:rPr>
        <w:t>Bộ Kế hoạch và Đầu tư không</w:t>
      </w:r>
      <w:r w:rsidRPr="007A4384">
        <w:rPr>
          <w:lang w:val="nl-NL"/>
        </w:rPr>
        <w:t xml:space="preserve"> có ý kiế</w:t>
      </w:r>
      <w:r>
        <w:rPr>
          <w:lang w:val="nl-NL"/>
        </w:rPr>
        <w:t>n)</w:t>
      </w:r>
      <w:r w:rsidR="00C42CDE">
        <w:rPr>
          <w:lang w:val="nl-NL"/>
        </w:rPr>
        <w:t>, Ủy ban Quản lý vốn nhà nước tại doanh nghiệp</w:t>
      </w:r>
      <w:r>
        <w:rPr>
          <w:lang w:val="nl-NL"/>
        </w:rPr>
        <w:t>,</w:t>
      </w:r>
      <w:r w:rsidRPr="007A4384">
        <w:rPr>
          <w:lang w:val="nl-NL"/>
        </w:rPr>
        <w:t xml:space="preserve"> UBND các tỉ</w:t>
      </w:r>
      <w:r>
        <w:rPr>
          <w:lang w:val="nl-NL"/>
        </w:rPr>
        <w:t>nh</w:t>
      </w:r>
      <w:r w:rsidR="00C42CDE">
        <w:rPr>
          <w:lang w:val="nl-NL"/>
        </w:rPr>
        <w:t>/thành phố trực thuộc trung ương</w:t>
      </w:r>
      <w:r>
        <w:rPr>
          <w:lang w:val="nl-NL"/>
        </w:rPr>
        <w:t xml:space="preserve"> là </w:t>
      </w:r>
      <w:r w:rsidRPr="007A4384">
        <w:rPr>
          <w:lang w:val="nl-NL"/>
        </w:rPr>
        <w:t>chủ đầu tư có dự án điện bàn giao</w:t>
      </w:r>
      <w:r>
        <w:rPr>
          <w:lang w:val="nl-NL"/>
        </w:rPr>
        <w:t xml:space="preserve"> (</w:t>
      </w:r>
      <w:r w:rsidR="00C42CDE">
        <w:rPr>
          <w:lang w:val="nl-NL"/>
        </w:rPr>
        <w:t>34/48</w:t>
      </w:r>
      <w:r>
        <w:rPr>
          <w:lang w:val="nl-NL"/>
        </w:rPr>
        <w:t xml:space="preserve"> tỉnh), EVN (là đối tượng nhận bàn giao),</w:t>
      </w:r>
      <w:r>
        <w:rPr>
          <w:lang w:val="it-IT"/>
        </w:rPr>
        <w:t xml:space="preserve"> </w:t>
      </w:r>
      <w:r w:rsidRPr="0028450A">
        <w:rPr>
          <w:lang w:val="it-IT"/>
        </w:rPr>
        <w:t xml:space="preserve">Bộ Tài chính </w:t>
      </w:r>
      <w:r>
        <w:rPr>
          <w:lang w:val="it-IT"/>
        </w:rPr>
        <w:t>đã tiếp thu và hoàn thiện dự thảo Quy</w:t>
      </w:r>
      <w:r w:rsidRPr="00DB4D69">
        <w:rPr>
          <w:lang w:val="it-IT"/>
        </w:rPr>
        <w:t>ết</w:t>
      </w:r>
      <w:r>
        <w:rPr>
          <w:lang w:val="it-IT"/>
        </w:rPr>
        <w:t xml:space="preserve"> định. </w:t>
      </w:r>
      <w:r w:rsidRPr="00E96AC8">
        <w:rPr>
          <w:spacing w:val="-6"/>
          <w:lang w:val="it-IT"/>
        </w:rPr>
        <w:t>Căn cứ</w:t>
      </w:r>
      <w:r>
        <w:rPr>
          <w:spacing w:val="-6"/>
          <w:lang w:val="it-IT"/>
        </w:rPr>
        <w:t xml:space="preserve"> quy định</w:t>
      </w:r>
      <w:r w:rsidRPr="00E96AC8">
        <w:rPr>
          <w:lang w:val="it-IT"/>
        </w:rPr>
        <w:t xml:space="preserve"> của Luật ban hành văn bản quy phạm pháp luật năm 20</w:t>
      </w:r>
      <w:r>
        <w:rPr>
          <w:lang w:val="it-IT"/>
        </w:rPr>
        <w:t>15</w:t>
      </w:r>
      <w:r w:rsidRPr="00E96AC8">
        <w:rPr>
          <w:lang w:val="it-IT"/>
        </w:rPr>
        <w:t xml:space="preserve">, </w:t>
      </w:r>
      <w:r>
        <w:rPr>
          <w:lang w:val="nl-NL"/>
        </w:rPr>
        <w:t xml:space="preserve">Bộ </w:t>
      </w:r>
      <w:r w:rsidRPr="00E50B46">
        <w:rPr>
          <w:lang w:val="nl-NL"/>
        </w:rPr>
        <w:t>Tài chính xin gửi Quý Bộ 10</w:t>
      </w:r>
      <w:r>
        <w:rPr>
          <w:lang w:val="nl-NL"/>
        </w:rPr>
        <w:t xml:space="preserve"> bộ hồ sơ trình Th</w:t>
      </w:r>
      <w:r w:rsidRPr="00DB4D69">
        <w:rPr>
          <w:lang w:val="nl-NL"/>
        </w:rPr>
        <w:t>ủ</w:t>
      </w:r>
      <w:r>
        <w:rPr>
          <w:lang w:val="nl-NL"/>
        </w:rPr>
        <w:t xml:space="preserve"> tư</w:t>
      </w:r>
      <w:r w:rsidRPr="00DB4D69">
        <w:rPr>
          <w:lang w:val="nl-NL"/>
        </w:rPr>
        <w:t>ớng</w:t>
      </w:r>
      <w:r>
        <w:rPr>
          <w:lang w:val="nl-NL"/>
        </w:rPr>
        <w:t xml:space="preserve"> Chính phủ dự thảo </w:t>
      </w:r>
      <w:r>
        <w:rPr>
          <w:spacing w:val="2"/>
          <w:lang w:val="nl-NL"/>
        </w:rPr>
        <w:t>Quy</w:t>
      </w:r>
      <w:r w:rsidRPr="00DB4D69">
        <w:rPr>
          <w:spacing w:val="2"/>
          <w:lang w:val="nl-NL"/>
        </w:rPr>
        <w:t>ết</w:t>
      </w:r>
      <w:r w:rsidRPr="00E96AC8">
        <w:rPr>
          <w:spacing w:val="2"/>
          <w:lang w:val="nl-NL"/>
        </w:rPr>
        <w:t xml:space="preserve"> định </w:t>
      </w:r>
      <w:r>
        <w:rPr>
          <w:lang w:val="nl-NL"/>
        </w:rPr>
        <w:t>(phụ lục danh mục hồ sơ tài liệu kèm theo).</w:t>
      </w:r>
    </w:p>
    <w:p w:rsidR="00C2022E" w:rsidRDefault="00C2022E" w:rsidP="004E73C1">
      <w:pPr>
        <w:spacing w:before="120" w:after="120"/>
        <w:ind w:firstLine="720"/>
        <w:jc w:val="both"/>
        <w:rPr>
          <w:lang w:val="nl-NL"/>
        </w:rPr>
      </w:pPr>
      <w:r>
        <w:rPr>
          <w:lang w:val="nl-NL"/>
        </w:rPr>
        <w:t>Đ</w:t>
      </w:r>
      <w:r w:rsidRPr="00EA6F03">
        <w:rPr>
          <w:lang w:val="nl-NL"/>
        </w:rPr>
        <w:t>ề</w:t>
      </w:r>
      <w:r>
        <w:rPr>
          <w:lang w:val="nl-NL"/>
        </w:rPr>
        <w:t xml:space="preserve"> ngh</w:t>
      </w:r>
      <w:r w:rsidRPr="00EA6F03">
        <w:rPr>
          <w:lang w:val="nl-NL"/>
        </w:rPr>
        <w:t>ị</w:t>
      </w:r>
      <w:r>
        <w:rPr>
          <w:lang w:val="nl-NL"/>
        </w:rPr>
        <w:t xml:space="preserve"> Quý B</w:t>
      </w:r>
      <w:r w:rsidRPr="00EA6F03">
        <w:rPr>
          <w:lang w:val="nl-NL"/>
        </w:rPr>
        <w:t>ộ</w:t>
      </w:r>
      <w:r>
        <w:rPr>
          <w:lang w:val="nl-NL"/>
        </w:rPr>
        <w:t xml:space="preserve"> xem xét và c</w:t>
      </w:r>
      <w:r w:rsidRPr="00EA6F03">
        <w:rPr>
          <w:lang w:val="nl-NL"/>
        </w:rPr>
        <w:t>ó</w:t>
      </w:r>
      <w:r>
        <w:rPr>
          <w:lang w:val="nl-NL"/>
        </w:rPr>
        <w:t xml:space="preserve"> </w:t>
      </w:r>
      <w:r w:rsidRPr="00EA6F03">
        <w:rPr>
          <w:lang w:val="nl-NL"/>
        </w:rPr>
        <w:t>ý</w:t>
      </w:r>
      <w:r>
        <w:rPr>
          <w:lang w:val="nl-NL"/>
        </w:rPr>
        <w:t xml:space="preserve"> ki</w:t>
      </w:r>
      <w:r w:rsidRPr="00EA6F03">
        <w:rPr>
          <w:lang w:val="nl-NL"/>
        </w:rPr>
        <w:t>ế</w:t>
      </w:r>
      <w:r>
        <w:rPr>
          <w:lang w:val="nl-NL"/>
        </w:rPr>
        <w:t>n th</w:t>
      </w:r>
      <w:r w:rsidRPr="00EA6F03">
        <w:rPr>
          <w:lang w:val="nl-NL"/>
        </w:rPr>
        <w:t>ẩ</w:t>
      </w:r>
      <w:r>
        <w:rPr>
          <w:lang w:val="nl-NL"/>
        </w:rPr>
        <w:t xml:space="preserve">m </w:t>
      </w:r>
      <w:r w:rsidRPr="00EA6F03">
        <w:rPr>
          <w:lang w:val="nl-NL"/>
        </w:rPr>
        <w:t>định</w:t>
      </w:r>
      <w:r>
        <w:rPr>
          <w:lang w:val="nl-NL"/>
        </w:rPr>
        <w:t xml:space="preserve"> g</w:t>
      </w:r>
      <w:r w:rsidRPr="00EA6F03">
        <w:rPr>
          <w:lang w:val="nl-NL"/>
        </w:rPr>
        <w:t>ửi</w:t>
      </w:r>
      <w:r>
        <w:rPr>
          <w:lang w:val="nl-NL"/>
        </w:rPr>
        <w:t xml:space="preserve"> B</w:t>
      </w:r>
      <w:r w:rsidRPr="00EA6F03">
        <w:rPr>
          <w:lang w:val="nl-NL"/>
        </w:rPr>
        <w:t>ộ</w:t>
      </w:r>
      <w:r>
        <w:rPr>
          <w:lang w:val="nl-NL"/>
        </w:rPr>
        <w:t xml:space="preserve"> T</w:t>
      </w:r>
      <w:r w:rsidRPr="00EA6F03">
        <w:rPr>
          <w:lang w:val="nl-NL"/>
        </w:rPr>
        <w:t>ài</w:t>
      </w:r>
      <w:r>
        <w:rPr>
          <w:lang w:val="nl-NL"/>
        </w:rPr>
        <w:t xml:space="preserve"> ch</w:t>
      </w:r>
      <w:r w:rsidRPr="00EA6F03">
        <w:rPr>
          <w:lang w:val="nl-NL"/>
        </w:rPr>
        <w:t>ính</w:t>
      </w:r>
      <w:r>
        <w:rPr>
          <w:lang w:val="nl-NL"/>
        </w:rPr>
        <w:t xml:space="preserve"> </w:t>
      </w:r>
      <w:r w:rsidRPr="002C11CD">
        <w:rPr>
          <w:lang w:val="nl-NL"/>
        </w:rPr>
        <w:t xml:space="preserve">trước </w:t>
      </w:r>
      <w:r>
        <w:rPr>
          <w:lang w:val="nl-NL"/>
        </w:rPr>
        <w:t>ngày    /  /20</w:t>
      </w:r>
      <w:r w:rsidR="002A0658">
        <w:rPr>
          <w:lang w:val="nl-NL"/>
        </w:rPr>
        <w:t>20</w:t>
      </w:r>
      <w:r>
        <w:rPr>
          <w:lang w:val="nl-NL"/>
        </w:rPr>
        <w:t xml:space="preserve"> </w:t>
      </w:r>
      <w:r w:rsidRPr="002C11CD">
        <w:rPr>
          <w:lang w:val="nl-NL"/>
        </w:rPr>
        <w:t xml:space="preserve">để </w:t>
      </w:r>
      <w:r w:rsidR="00C42CDE">
        <w:rPr>
          <w:lang w:val="nl-NL"/>
        </w:rPr>
        <w:t xml:space="preserve">Bộ Tài chính </w:t>
      </w:r>
      <w:r w:rsidRPr="002C11CD">
        <w:rPr>
          <w:lang w:val="nl-NL"/>
        </w:rPr>
        <w:t xml:space="preserve">tổng hợp và hoàn chỉnh dự thảo </w:t>
      </w:r>
      <w:r>
        <w:rPr>
          <w:lang w:val="nl-NL"/>
        </w:rPr>
        <w:t>Quy</w:t>
      </w:r>
      <w:r w:rsidRPr="00DB4D69">
        <w:rPr>
          <w:lang w:val="nl-NL"/>
        </w:rPr>
        <w:t>ết</w:t>
      </w:r>
      <w:r>
        <w:rPr>
          <w:lang w:val="nl-NL"/>
        </w:rPr>
        <w:t xml:space="preserve"> định,</w:t>
      </w:r>
      <w:r w:rsidRPr="002C11CD">
        <w:rPr>
          <w:lang w:val="nl-NL"/>
        </w:rPr>
        <w:t xml:space="preserve"> trình </w:t>
      </w:r>
      <w:r>
        <w:rPr>
          <w:lang w:val="nl-NL"/>
        </w:rPr>
        <w:t>Th</w:t>
      </w:r>
      <w:r w:rsidRPr="00DB4D69">
        <w:rPr>
          <w:lang w:val="nl-NL"/>
        </w:rPr>
        <w:t>ủ</w:t>
      </w:r>
      <w:r>
        <w:rPr>
          <w:lang w:val="nl-NL"/>
        </w:rPr>
        <w:t xml:space="preserve"> tư</w:t>
      </w:r>
      <w:r w:rsidRPr="00DB4D69">
        <w:rPr>
          <w:lang w:val="nl-NL"/>
        </w:rPr>
        <w:t>ớng</w:t>
      </w:r>
      <w:r>
        <w:rPr>
          <w:lang w:val="nl-NL"/>
        </w:rPr>
        <w:t xml:space="preserve"> </w:t>
      </w:r>
      <w:r w:rsidRPr="002C11CD">
        <w:rPr>
          <w:lang w:val="nl-NL"/>
        </w:rPr>
        <w:t>Chính phủ</w:t>
      </w:r>
      <w:r>
        <w:rPr>
          <w:lang w:val="nl-NL"/>
        </w:rPr>
        <w:t>.</w:t>
      </w:r>
    </w:p>
    <w:p w:rsidR="00C2022E" w:rsidRDefault="00C2022E" w:rsidP="004E73C1">
      <w:pPr>
        <w:spacing w:before="120" w:after="120"/>
        <w:jc w:val="both"/>
        <w:rPr>
          <w:lang w:val="nl-NL"/>
        </w:rPr>
      </w:pPr>
      <w:r>
        <w:rPr>
          <w:lang w:val="nl-NL"/>
        </w:rPr>
        <w:tab/>
        <w:t>Xin trân trọng cảm ơn sự hợp tác của Quý Bộ./.</w:t>
      </w:r>
    </w:p>
    <w:p w:rsidR="00C2022E" w:rsidRPr="00DB4D69" w:rsidRDefault="00C2022E" w:rsidP="004E73C1">
      <w:pPr>
        <w:spacing w:before="120" w:after="120"/>
        <w:jc w:val="both"/>
        <w:rPr>
          <w:sz w:val="2"/>
          <w:lang w:val="nl-NL"/>
        </w:rPr>
      </w:pPr>
    </w:p>
    <w:tbl>
      <w:tblPr>
        <w:tblW w:w="0" w:type="auto"/>
        <w:tblLook w:val="01E0"/>
      </w:tblPr>
      <w:tblGrid>
        <w:gridCol w:w="4645"/>
        <w:gridCol w:w="4645"/>
      </w:tblGrid>
      <w:tr w:rsidR="00C2022E" w:rsidRPr="00C42CDE">
        <w:trPr>
          <w:trHeight w:val="1792"/>
        </w:trPr>
        <w:tc>
          <w:tcPr>
            <w:tcW w:w="4645" w:type="dxa"/>
          </w:tcPr>
          <w:p w:rsidR="00C2022E" w:rsidRPr="00E321A7" w:rsidRDefault="00C2022E" w:rsidP="00454B34">
            <w:pPr>
              <w:spacing w:before="80"/>
              <w:rPr>
                <w:b/>
                <w:i/>
                <w:sz w:val="24"/>
                <w:szCs w:val="22"/>
                <w:lang w:val="nl-NL"/>
              </w:rPr>
            </w:pPr>
            <w:r w:rsidRPr="00E321A7">
              <w:rPr>
                <w:b/>
                <w:i/>
                <w:sz w:val="24"/>
                <w:szCs w:val="22"/>
                <w:lang w:val="nl-NL"/>
              </w:rPr>
              <w:t>Nơi nhận:</w:t>
            </w:r>
          </w:p>
          <w:p w:rsidR="00C2022E" w:rsidRPr="00E321A7" w:rsidRDefault="00C2022E" w:rsidP="00454B34">
            <w:pPr>
              <w:rPr>
                <w:sz w:val="22"/>
                <w:szCs w:val="22"/>
                <w:lang w:val="nl-NL"/>
              </w:rPr>
            </w:pPr>
            <w:r w:rsidRPr="00E321A7">
              <w:rPr>
                <w:sz w:val="22"/>
                <w:szCs w:val="22"/>
                <w:lang w:val="nl-NL"/>
              </w:rPr>
              <w:t>- Như trên;</w:t>
            </w:r>
          </w:p>
          <w:p w:rsidR="00C2022E" w:rsidRPr="00E321A7" w:rsidRDefault="00C2022E" w:rsidP="00454B34">
            <w:pPr>
              <w:rPr>
                <w:sz w:val="22"/>
                <w:szCs w:val="22"/>
                <w:lang w:val="nl-NL"/>
              </w:rPr>
            </w:pPr>
            <w:r w:rsidRPr="00E321A7">
              <w:rPr>
                <w:sz w:val="22"/>
                <w:szCs w:val="22"/>
                <w:lang w:val="nl-NL"/>
              </w:rPr>
              <w:t>- Bộ trưởng Đinh Tiến Dũng (để b/c);</w:t>
            </w:r>
          </w:p>
          <w:p w:rsidR="00C2022E" w:rsidRPr="00E321A7" w:rsidRDefault="00C2022E" w:rsidP="00454B34">
            <w:pPr>
              <w:rPr>
                <w:sz w:val="22"/>
                <w:szCs w:val="22"/>
                <w:lang w:val="nl-NL"/>
              </w:rPr>
            </w:pPr>
            <w:r w:rsidRPr="00E321A7">
              <w:rPr>
                <w:sz w:val="22"/>
                <w:szCs w:val="22"/>
                <w:lang w:val="nl-NL"/>
              </w:rPr>
              <w:t>- Văn phòng Chính phủ;</w:t>
            </w:r>
          </w:p>
          <w:p w:rsidR="00C2022E" w:rsidRPr="00E321A7" w:rsidRDefault="00C2022E" w:rsidP="00454B34">
            <w:pPr>
              <w:rPr>
                <w:sz w:val="22"/>
                <w:szCs w:val="22"/>
                <w:lang w:val="nl-NL"/>
              </w:rPr>
            </w:pPr>
            <w:r w:rsidRPr="00E321A7">
              <w:rPr>
                <w:sz w:val="22"/>
                <w:szCs w:val="22"/>
                <w:lang w:val="nl-NL"/>
              </w:rPr>
              <w:t>- Vụ Pháp chế;</w:t>
            </w:r>
          </w:p>
          <w:p w:rsidR="00C2022E" w:rsidRPr="00C42CDE" w:rsidRDefault="00C2022E" w:rsidP="00454B34">
            <w:pPr>
              <w:rPr>
                <w:sz w:val="22"/>
                <w:szCs w:val="22"/>
                <w:lang w:val="nl-NL"/>
              </w:rPr>
            </w:pPr>
            <w:r w:rsidRPr="00C42CDE">
              <w:rPr>
                <w:sz w:val="22"/>
                <w:szCs w:val="22"/>
                <w:lang w:val="nl-NL"/>
              </w:rPr>
              <w:t>- Lưu: VT, TCDN (</w:t>
            </w:r>
            <w:r w:rsidR="00C42CDE" w:rsidRPr="00C42CDE">
              <w:rPr>
                <w:sz w:val="22"/>
                <w:szCs w:val="22"/>
                <w:lang w:val="nl-NL"/>
              </w:rPr>
              <w:t>..</w:t>
            </w:r>
            <w:r w:rsidR="00C42CDE">
              <w:rPr>
                <w:sz w:val="22"/>
                <w:szCs w:val="22"/>
                <w:lang w:val="nl-NL"/>
              </w:rPr>
              <w:t>...</w:t>
            </w:r>
            <w:r w:rsidRPr="00C42CDE">
              <w:rPr>
                <w:sz w:val="22"/>
                <w:szCs w:val="22"/>
                <w:lang w:val="nl-NL"/>
              </w:rPr>
              <w:t>b).</w:t>
            </w:r>
          </w:p>
          <w:p w:rsidR="00C2022E" w:rsidRPr="00C42CDE" w:rsidRDefault="00C2022E" w:rsidP="00454B34">
            <w:pPr>
              <w:spacing w:line="288" w:lineRule="auto"/>
              <w:jc w:val="both"/>
              <w:rPr>
                <w:sz w:val="20"/>
                <w:szCs w:val="20"/>
                <w:lang w:val="nl-NL"/>
              </w:rPr>
            </w:pPr>
          </w:p>
        </w:tc>
        <w:tc>
          <w:tcPr>
            <w:tcW w:w="4645" w:type="dxa"/>
          </w:tcPr>
          <w:p w:rsidR="00C2022E" w:rsidRPr="00C42CDE" w:rsidRDefault="00C2022E" w:rsidP="008C73EC">
            <w:pPr>
              <w:jc w:val="center"/>
              <w:rPr>
                <w:b/>
                <w:bCs/>
                <w:sz w:val="24"/>
                <w:lang w:val="nl-NL"/>
              </w:rPr>
            </w:pPr>
            <w:r w:rsidRPr="00C42CDE">
              <w:rPr>
                <w:b/>
                <w:bCs/>
                <w:sz w:val="26"/>
                <w:szCs w:val="22"/>
                <w:lang w:val="nl-NL"/>
              </w:rPr>
              <w:t xml:space="preserve">KT. BỘ TRƯỞNG </w:t>
            </w:r>
            <w:r w:rsidRPr="00C42CDE">
              <w:rPr>
                <w:b/>
                <w:bCs/>
                <w:sz w:val="26"/>
                <w:szCs w:val="22"/>
                <w:lang w:val="nl-NL"/>
              </w:rPr>
              <w:br/>
              <w:t xml:space="preserve">THỨ TRƯỞNG </w:t>
            </w:r>
            <w:r w:rsidRPr="00C42CDE">
              <w:rPr>
                <w:b/>
                <w:bCs/>
                <w:sz w:val="22"/>
                <w:szCs w:val="22"/>
                <w:lang w:val="nl-NL"/>
              </w:rPr>
              <w:br/>
            </w:r>
            <w:r w:rsidRPr="00C42CDE">
              <w:rPr>
                <w:b/>
                <w:bCs/>
                <w:sz w:val="22"/>
                <w:szCs w:val="22"/>
                <w:lang w:val="nl-NL"/>
              </w:rPr>
              <w:br/>
            </w:r>
            <w:r w:rsidRPr="00C42CDE">
              <w:rPr>
                <w:b/>
                <w:bCs/>
                <w:sz w:val="22"/>
                <w:szCs w:val="22"/>
                <w:lang w:val="nl-NL"/>
              </w:rPr>
              <w:br/>
            </w:r>
          </w:p>
          <w:p w:rsidR="00C2022E" w:rsidRPr="00C42CDE" w:rsidRDefault="00C2022E" w:rsidP="008C73EC">
            <w:pPr>
              <w:jc w:val="center"/>
              <w:rPr>
                <w:b/>
                <w:bCs/>
                <w:sz w:val="24"/>
                <w:lang w:val="nl-NL"/>
              </w:rPr>
            </w:pPr>
          </w:p>
          <w:p w:rsidR="00C2022E" w:rsidRPr="00C42CDE" w:rsidRDefault="00C2022E" w:rsidP="008C73EC">
            <w:pPr>
              <w:jc w:val="center"/>
              <w:rPr>
                <w:b/>
                <w:bCs/>
                <w:sz w:val="24"/>
                <w:lang w:val="nl-NL"/>
              </w:rPr>
            </w:pPr>
          </w:p>
          <w:p w:rsidR="00C2022E" w:rsidRPr="00C42CDE" w:rsidRDefault="00C2022E" w:rsidP="00454B34">
            <w:pPr>
              <w:jc w:val="both"/>
              <w:rPr>
                <w:b/>
                <w:bCs/>
                <w:lang w:val="nl-NL"/>
              </w:rPr>
            </w:pPr>
          </w:p>
          <w:p w:rsidR="00C2022E" w:rsidRPr="00C42CDE" w:rsidRDefault="00C2022E" w:rsidP="00454B34">
            <w:pPr>
              <w:jc w:val="both"/>
              <w:rPr>
                <w:b/>
                <w:bCs/>
                <w:lang w:val="nl-NL"/>
              </w:rPr>
            </w:pPr>
          </w:p>
          <w:p w:rsidR="00C2022E" w:rsidRPr="00C42CDE" w:rsidRDefault="00C2022E" w:rsidP="00681614">
            <w:pPr>
              <w:jc w:val="center"/>
              <w:rPr>
                <w:b/>
                <w:bCs/>
                <w:sz w:val="24"/>
                <w:lang w:val="nl-NL"/>
              </w:rPr>
            </w:pPr>
            <w:r w:rsidRPr="00C42CDE">
              <w:rPr>
                <w:b/>
                <w:bCs/>
                <w:lang w:val="nl-NL"/>
              </w:rPr>
              <w:t>Huỳnh Quang Hải</w:t>
            </w:r>
          </w:p>
        </w:tc>
      </w:tr>
    </w:tbl>
    <w:p w:rsidR="00C2022E" w:rsidRDefault="00C2022E" w:rsidP="00C60D78">
      <w:pPr>
        <w:spacing w:line="264" w:lineRule="auto"/>
        <w:jc w:val="center"/>
        <w:rPr>
          <w:b/>
          <w:lang w:val="nl-NL"/>
        </w:rPr>
      </w:pPr>
      <w:r>
        <w:rPr>
          <w:b/>
          <w:lang w:val="nl-NL"/>
        </w:rPr>
        <w:br w:type="page"/>
      </w:r>
    </w:p>
    <w:p w:rsidR="00C2022E" w:rsidRDefault="00C2022E" w:rsidP="00C60D78">
      <w:pPr>
        <w:spacing w:line="264" w:lineRule="auto"/>
        <w:jc w:val="center"/>
        <w:rPr>
          <w:b/>
          <w:lang w:val="nl-NL"/>
        </w:rPr>
      </w:pPr>
      <w:r w:rsidRPr="00BA5835">
        <w:rPr>
          <w:b/>
          <w:lang w:val="nl-NL"/>
        </w:rPr>
        <w:lastRenderedPageBreak/>
        <w:t>DANH MỤC HỒ SƠ TÀI LIỆU KÈM THEO</w:t>
      </w:r>
    </w:p>
    <w:p w:rsidR="00C2022E" w:rsidRPr="00210B5D" w:rsidRDefault="00C2022E" w:rsidP="00C60D78">
      <w:pPr>
        <w:spacing w:line="264" w:lineRule="auto"/>
        <w:jc w:val="center"/>
        <w:rPr>
          <w:i/>
          <w:lang w:val="nl-NL"/>
        </w:rPr>
      </w:pPr>
      <w:r w:rsidRPr="00210B5D">
        <w:rPr>
          <w:i/>
          <w:lang w:val="nl-NL"/>
        </w:rPr>
        <w:t xml:space="preserve">(kèm theo công văn số </w:t>
      </w:r>
      <w:r w:rsidR="005F77E7">
        <w:rPr>
          <w:i/>
          <w:lang w:val="nl-NL"/>
        </w:rPr>
        <w:t>526</w:t>
      </w:r>
      <w:r w:rsidRPr="00210B5D">
        <w:rPr>
          <w:i/>
          <w:lang w:val="nl-NL"/>
        </w:rPr>
        <w:t xml:space="preserve">/BTC-TCDN ngày </w:t>
      </w:r>
      <w:r w:rsidR="005F77E7">
        <w:rPr>
          <w:i/>
          <w:lang w:val="nl-NL"/>
        </w:rPr>
        <w:t>15</w:t>
      </w:r>
      <w:r>
        <w:rPr>
          <w:i/>
          <w:lang w:val="nl-NL"/>
        </w:rPr>
        <w:t>/</w:t>
      </w:r>
      <w:r w:rsidR="005F77E7">
        <w:rPr>
          <w:i/>
          <w:lang w:val="nl-NL"/>
        </w:rPr>
        <w:t>01</w:t>
      </w:r>
      <w:r w:rsidRPr="00210B5D">
        <w:rPr>
          <w:i/>
          <w:lang w:val="nl-NL"/>
        </w:rPr>
        <w:t>/20</w:t>
      </w:r>
      <w:r w:rsidR="00083F18">
        <w:rPr>
          <w:i/>
          <w:lang w:val="nl-NL"/>
        </w:rPr>
        <w:t>20</w:t>
      </w:r>
      <w:r w:rsidRPr="00210B5D">
        <w:rPr>
          <w:i/>
          <w:lang w:val="nl-NL"/>
        </w:rPr>
        <w:t xml:space="preserve"> của Bộ Tài chính)</w:t>
      </w:r>
    </w:p>
    <w:p w:rsidR="00C2022E" w:rsidRDefault="00C2022E" w:rsidP="00C60D78">
      <w:pPr>
        <w:spacing w:line="264" w:lineRule="auto"/>
        <w:jc w:val="both"/>
        <w:rPr>
          <w:lang w:val="nl-NL"/>
        </w:rPr>
      </w:pPr>
    </w:p>
    <w:p w:rsidR="00C2022E" w:rsidRPr="000723E9" w:rsidRDefault="00C2022E" w:rsidP="00C94989">
      <w:pPr>
        <w:tabs>
          <w:tab w:val="left" w:pos="993"/>
          <w:tab w:val="left" w:pos="1276"/>
        </w:tabs>
        <w:spacing w:before="120" w:after="120"/>
        <w:ind w:firstLine="720"/>
        <w:jc w:val="both"/>
        <w:rPr>
          <w:color w:val="000000"/>
          <w:lang w:val="nb-NO"/>
        </w:rPr>
      </w:pPr>
      <w:r w:rsidRPr="000723E9">
        <w:rPr>
          <w:lang w:val="nb-NO"/>
        </w:rPr>
        <w:t xml:space="preserve">1. Dự thảo </w:t>
      </w:r>
      <w:r w:rsidRPr="000723E9">
        <w:rPr>
          <w:color w:val="000000"/>
          <w:lang w:val="nb-NO"/>
        </w:rPr>
        <w:t>Tờ trình Thủ</w:t>
      </w:r>
      <w:r>
        <w:rPr>
          <w:color w:val="000000"/>
          <w:lang w:val="nb-NO"/>
        </w:rPr>
        <w:t xml:space="preserve"> tư</w:t>
      </w:r>
      <w:r w:rsidRPr="000723E9">
        <w:rPr>
          <w:color w:val="000000"/>
          <w:lang w:val="nb-NO"/>
        </w:rPr>
        <w:t>ớng</w:t>
      </w:r>
      <w:r>
        <w:rPr>
          <w:color w:val="000000"/>
          <w:lang w:val="nb-NO"/>
        </w:rPr>
        <w:t xml:space="preserve"> </w:t>
      </w:r>
      <w:r w:rsidRPr="000723E9">
        <w:rPr>
          <w:color w:val="000000"/>
          <w:lang w:val="nb-NO"/>
        </w:rPr>
        <w:t xml:space="preserve">Chính phủ về việc </w:t>
      </w:r>
      <w:r>
        <w:rPr>
          <w:color w:val="000000"/>
          <w:lang w:val="nb-NO"/>
        </w:rPr>
        <w:t xml:space="preserve">ban hành Quyết định của Thủ tướng Chính phủ hướng dẫn </w:t>
      </w:r>
      <w:r w:rsidR="00C42CDE">
        <w:rPr>
          <w:color w:val="000000"/>
          <w:lang w:val="nb-NO"/>
        </w:rPr>
        <w:t>việc bàn giao, tiếp nhận vốn, tài sản và hoàn trả vốn đối với các dự án thành phần thuộc Chương trình cấp điện nông thôn, miền núi và hải đảo</w:t>
      </w:r>
      <w:r>
        <w:rPr>
          <w:color w:val="000000"/>
          <w:lang w:val="nb-NO"/>
        </w:rPr>
        <w:t>;</w:t>
      </w:r>
    </w:p>
    <w:p w:rsidR="00C2022E" w:rsidRPr="00332121" w:rsidRDefault="00C2022E" w:rsidP="00C94989">
      <w:pPr>
        <w:spacing w:before="120" w:after="120"/>
        <w:ind w:firstLine="720"/>
        <w:jc w:val="both"/>
        <w:rPr>
          <w:lang w:val="nb-NO"/>
        </w:rPr>
      </w:pPr>
      <w:r w:rsidRPr="000723E9">
        <w:rPr>
          <w:color w:val="000000"/>
          <w:lang w:val="nb-NO"/>
        </w:rPr>
        <w:t xml:space="preserve">2. Dự thảo </w:t>
      </w:r>
      <w:r>
        <w:rPr>
          <w:lang w:val="nl-NL"/>
        </w:rPr>
        <w:t>Quy</w:t>
      </w:r>
      <w:r w:rsidRPr="000723E9">
        <w:rPr>
          <w:lang w:val="nl-NL"/>
        </w:rPr>
        <w:t xml:space="preserve">ết định </w:t>
      </w:r>
      <w:r w:rsidR="00C42CDE">
        <w:rPr>
          <w:lang w:val="nl-NL"/>
        </w:rPr>
        <w:t xml:space="preserve">hướng dẫn </w:t>
      </w:r>
      <w:r w:rsidR="00C42CDE">
        <w:rPr>
          <w:color w:val="000000"/>
          <w:lang w:val="nb-NO"/>
        </w:rPr>
        <w:t>việc bàn giao, tiếp nhận vốn, tài sản và hoàn trả vốn đối với các dự án thành phần thuộc Chương trình cấp điện nông thôn, miền núi và hải đảo</w:t>
      </w:r>
      <w:r>
        <w:rPr>
          <w:lang w:val="nl-NL"/>
        </w:rPr>
        <w:t>;</w:t>
      </w:r>
    </w:p>
    <w:p w:rsidR="00C2022E" w:rsidRPr="000723E9" w:rsidRDefault="00C2022E" w:rsidP="00C94989">
      <w:pPr>
        <w:spacing w:before="120" w:after="120"/>
        <w:ind w:firstLine="720"/>
        <w:jc w:val="both"/>
        <w:rPr>
          <w:color w:val="000000"/>
          <w:lang w:val="nb-NO"/>
        </w:rPr>
      </w:pPr>
      <w:r w:rsidRPr="000723E9">
        <w:rPr>
          <w:color w:val="000000"/>
          <w:lang w:val="nb-NO"/>
        </w:rPr>
        <w:t>3.</w:t>
      </w:r>
      <w:r w:rsidRPr="000723E9">
        <w:rPr>
          <w:lang w:val="nb-NO"/>
        </w:rPr>
        <w:t xml:space="preserve"> </w:t>
      </w:r>
      <w:r w:rsidRPr="000723E9">
        <w:rPr>
          <w:color w:val="000000"/>
          <w:lang w:val="vi-VN"/>
        </w:rPr>
        <w:t xml:space="preserve">Báo cáo đánh giá tác động của </w:t>
      </w:r>
      <w:r>
        <w:rPr>
          <w:lang w:val="nl-NL"/>
        </w:rPr>
        <w:t>Quy</w:t>
      </w:r>
      <w:r w:rsidRPr="000723E9">
        <w:rPr>
          <w:lang w:val="nl-NL"/>
        </w:rPr>
        <w:t>ết định</w:t>
      </w:r>
      <w:r w:rsidRPr="001611E2">
        <w:rPr>
          <w:lang w:val="nl-NL"/>
        </w:rPr>
        <w:t xml:space="preserve"> </w:t>
      </w:r>
      <w:r>
        <w:rPr>
          <w:lang w:val="nl-NL"/>
        </w:rPr>
        <w:t xml:space="preserve">hướng dẫn </w:t>
      </w:r>
      <w:r w:rsidR="00C42CDE">
        <w:rPr>
          <w:color w:val="000000"/>
          <w:lang w:val="nb-NO"/>
        </w:rPr>
        <w:t>việc bàn giao, tiếp nhận vốn, tài sản và hoàn trả vốn đối với các dự án thành phần thuộc Chương trình cấp điện nông thôn, miền núi và hải đảo</w:t>
      </w:r>
      <w:r w:rsidRPr="000723E9">
        <w:rPr>
          <w:color w:val="000000"/>
          <w:lang w:val="nb-NO"/>
        </w:rPr>
        <w:t>;</w:t>
      </w:r>
    </w:p>
    <w:p w:rsidR="00C2022E" w:rsidRPr="000723E9" w:rsidRDefault="00C2022E" w:rsidP="00C94989">
      <w:pPr>
        <w:spacing w:before="120" w:after="120"/>
        <w:ind w:firstLine="720"/>
        <w:jc w:val="both"/>
        <w:rPr>
          <w:lang w:val="nl-NL"/>
        </w:rPr>
      </w:pPr>
      <w:r w:rsidRPr="000723E9">
        <w:rPr>
          <w:lang w:val="nl-NL"/>
        </w:rPr>
        <w:t xml:space="preserve">4. Bảng tổng hợp ý kiến tham gia ý kiến của </w:t>
      </w:r>
      <w:r w:rsidR="00C42CDE">
        <w:rPr>
          <w:lang w:val="nl-NL"/>
        </w:rPr>
        <w:t>các Bộ, ngành</w:t>
      </w:r>
      <w:r w:rsidRPr="000723E9">
        <w:rPr>
          <w:lang w:val="nl-NL"/>
        </w:rPr>
        <w:t xml:space="preserve">, </w:t>
      </w:r>
      <w:r>
        <w:rPr>
          <w:lang w:val="nl-NL"/>
        </w:rPr>
        <w:t xml:space="preserve">UBND các tỉnh, EVN </w:t>
      </w:r>
      <w:r w:rsidRPr="000723E9">
        <w:rPr>
          <w:lang w:val="nl-NL"/>
        </w:rPr>
        <w:t xml:space="preserve">về dự thảo </w:t>
      </w:r>
      <w:r>
        <w:rPr>
          <w:lang w:val="nl-NL"/>
        </w:rPr>
        <w:t>Quy</w:t>
      </w:r>
      <w:r w:rsidRPr="000723E9">
        <w:rPr>
          <w:lang w:val="nl-NL"/>
        </w:rPr>
        <w:t>ết định</w:t>
      </w:r>
      <w:r w:rsidRPr="001611E2">
        <w:rPr>
          <w:lang w:val="nl-NL"/>
        </w:rPr>
        <w:t xml:space="preserve"> </w:t>
      </w:r>
      <w:r>
        <w:rPr>
          <w:lang w:val="nl-NL"/>
        </w:rPr>
        <w:t xml:space="preserve">hướng dẫn </w:t>
      </w:r>
      <w:r w:rsidR="00C42CDE">
        <w:rPr>
          <w:color w:val="000000"/>
          <w:lang w:val="nb-NO"/>
        </w:rPr>
        <w:t>việc bàn giao, tiếp nhận vốn, tài sản và hoàn trả vốn đối với các dự án thành phần thuộc Chương trình cấp điện nông thôn, miền núi và hải đảo.</w:t>
      </w:r>
      <w:r w:rsidRPr="000723E9">
        <w:rPr>
          <w:lang w:val="nl-NL"/>
        </w:rPr>
        <w:t xml:space="preserve">  </w:t>
      </w:r>
    </w:p>
    <w:p w:rsidR="00C2022E" w:rsidRPr="00661DB3" w:rsidRDefault="00944F6A" w:rsidP="00F510A8">
      <w:pPr>
        <w:spacing w:before="120" w:after="120" w:line="264" w:lineRule="auto"/>
        <w:ind w:firstLine="720"/>
        <w:jc w:val="both"/>
        <w:rPr>
          <w:lang w:val="nl-NL"/>
        </w:rPr>
      </w:pPr>
      <w:r>
        <w:rPr>
          <w:noProof/>
          <w:lang w:val="vi-VN" w:eastAsia="vi-VN"/>
        </w:rPr>
        <w:pict>
          <v:shape id="_x0000_s1028" type="#_x0000_t32" style="position:absolute;left:0;text-align:left;margin-left:130.95pt;margin-top:12.15pt;width:174.75pt;height:0;z-index:251660288" o:connectortype="straight"/>
        </w:pict>
      </w:r>
    </w:p>
    <w:p w:rsidR="00C2022E" w:rsidRDefault="00C2022E" w:rsidP="00F510A8">
      <w:pPr>
        <w:jc w:val="both"/>
        <w:rPr>
          <w:lang w:val="nl-NL"/>
        </w:rPr>
      </w:pPr>
      <w:r>
        <w:rPr>
          <w:lang w:val="nl-NL"/>
        </w:rPr>
        <w:tab/>
      </w:r>
    </w:p>
    <w:p w:rsidR="00C2022E" w:rsidRDefault="00C2022E" w:rsidP="00F510A8">
      <w:pPr>
        <w:jc w:val="both"/>
        <w:rPr>
          <w:lang w:val="nl-NL"/>
        </w:rPr>
      </w:pPr>
    </w:p>
    <w:p w:rsidR="00C2022E" w:rsidRPr="00E414C4" w:rsidRDefault="00C2022E" w:rsidP="00F510A8">
      <w:pPr>
        <w:jc w:val="both"/>
        <w:rPr>
          <w:lang w:val="nl-NL"/>
        </w:rPr>
      </w:pPr>
    </w:p>
    <w:p w:rsidR="00C2022E" w:rsidRDefault="00C2022E" w:rsidP="00E414C4">
      <w:pPr>
        <w:rPr>
          <w:lang w:val="nl-NL"/>
        </w:rPr>
      </w:pPr>
    </w:p>
    <w:p w:rsidR="00C2022E" w:rsidRDefault="00C2022E" w:rsidP="00E414C4">
      <w:pPr>
        <w:rPr>
          <w:lang w:val="nl-NL"/>
        </w:rPr>
      </w:pPr>
    </w:p>
    <w:p w:rsidR="00C2022E" w:rsidRDefault="00C2022E" w:rsidP="00E414C4">
      <w:pPr>
        <w:rPr>
          <w:lang w:val="nl-NL"/>
        </w:rPr>
      </w:pPr>
    </w:p>
    <w:p w:rsidR="00C2022E" w:rsidRDefault="00C2022E" w:rsidP="00E414C4">
      <w:pPr>
        <w:rPr>
          <w:lang w:val="nl-NL"/>
        </w:rPr>
      </w:pPr>
    </w:p>
    <w:p w:rsidR="00C2022E" w:rsidRDefault="00C2022E" w:rsidP="00E414C4">
      <w:pPr>
        <w:rPr>
          <w:lang w:val="nl-NL"/>
        </w:rPr>
      </w:pPr>
    </w:p>
    <w:p w:rsidR="00C2022E" w:rsidRDefault="00C2022E" w:rsidP="00E414C4">
      <w:pPr>
        <w:rPr>
          <w:lang w:val="nl-NL"/>
        </w:rPr>
      </w:pPr>
    </w:p>
    <w:p w:rsidR="00C2022E" w:rsidRDefault="00C2022E" w:rsidP="00E414C4">
      <w:pPr>
        <w:rPr>
          <w:lang w:val="nl-NL"/>
        </w:rPr>
      </w:pPr>
    </w:p>
    <w:p w:rsidR="00C2022E" w:rsidRDefault="00C2022E" w:rsidP="00E414C4">
      <w:pPr>
        <w:rPr>
          <w:lang w:val="nl-NL"/>
        </w:rPr>
      </w:pPr>
    </w:p>
    <w:p w:rsidR="00C2022E" w:rsidRDefault="00C2022E" w:rsidP="00E414C4">
      <w:pPr>
        <w:rPr>
          <w:lang w:val="nl-NL"/>
        </w:rPr>
      </w:pPr>
    </w:p>
    <w:p w:rsidR="00C2022E" w:rsidRDefault="00C2022E" w:rsidP="00E414C4">
      <w:pPr>
        <w:rPr>
          <w:lang w:val="nl-NL"/>
        </w:rPr>
      </w:pPr>
    </w:p>
    <w:p w:rsidR="00C2022E" w:rsidRDefault="00C2022E" w:rsidP="00F510A8">
      <w:pPr>
        <w:spacing w:line="264" w:lineRule="auto"/>
        <w:rPr>
          <w:lang w:val="nl-NL"/>
        </w:rPr>
      </w:pPr>
    </w:p>
    <w:p w:rsidR="00C2022E" w:rsidRDefault="00C2022E" w:rsidP="00F510A8">
      <w:pPr>
        <w:spacing w:line="264" w:lineRule="auto"/>
        <w:rPr>
          <w:lang w:val="nl-NL"/>
        </w:rPr>
      </w:pPr>
    </w:p>
    <w:p w:rsidR="00C2022E" w:rsidRDefault="00C2022E" w:rsidP="00F510A8">
      <w:pPr>
        <w:spacing w:line="264" w:lineRule="auto"/>
        <w:rPr>
          <w:lang w:val="nl-NL"/>
        </w:rPr>
      </w:pPr>
    </w:p>
    <w:p w:rsidR="00C2022E" w:rsidRPr="00E414C4" w:rsidRDefault="00C2022E" w:rsidP="00F510A8">
      <w:pPr>
        <w:spacing w:line="264" w:lineRule="auto"/>
        <w:rPr>
          <w:lang w:val="nl-NL"/>
        </w:rPr>
      </w:pPr>
    </w:p>
    <w:sectPr w:rsidR="00C2022E" w:rsidRPr="00E414C4" w:rsidSect="009D4C5B">
      <w:footerReference w:type="even" r:id="rId8"/>
      <w:footerReference w:type="default" r:id="rId9"/>
      <w:pgSz w:w="11909" w:h="16834" w:code="9"/>
      <w:pgMar w:top="1134" w:right="1134" w:bottom="709"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4D22" w:rsidRDefault="00AF4D22">
      <w:r>
        <w:separator/>
      </w:r>
    </w:p>
  </w:endnote>
  <w:endnote w:type="continuationSeparator" w:id="0">
    <w:p w:rsidR="00AF4D22" w:rsidRDefault="00AF4D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22E" w:rsidRDefault="00944F6A" w:rsidP="009D4C5B">
    <w:pPr>
      <w:pStyle w:val="Footer"/>
      <w:framePr w:wrap="around" w:vAnchor="text" w:hAnchor="margin" w:xAlign="right" w:y="1"/>
      <w:rPr>
        <w:rStyle w:val="PageNumber"/>
      </w:rPr>
    </w:pPr>
    <w:r>
      <w:rPr>
        <w:rStyle w:val="PageNumber"/>
      </w:rPr>
      <w:fldChar w:fldCharType="begin"/>
    </w:r>
    <w:r w:rsidR="00C2022E">
      <w:rPr>
        <w:rStyle w:val="PageNumber"/>
      </w:rPr>
      <w:instrText xml:space="preserve">PAGE  </w:instrText>
    </w:r>
    <w:r>
      <w:rPr>
        <w:rStyle w:val="PageNumber"/>
      </w:rPr>
      <w:fldChar w:fldCharType="end"/>
    </w:r>
  </w:p>
  <w:p w:rsidR="00C2022E" w:rsidRDefault="00C2022E" w:rsidP="009D4C5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22E" w:rsidRDefault="00944F6A" w:rsidP="009D4C5B">
    <w:pPr>
      <w:pStyle w:val="Footer"/>
      <w:framePr w:wrap="around" w:vAnchor="text" w:hAnchor="margin" w:xAlign="right" w:y="1"/>
      <w:rPr>
        <w:rStyle w:val="PageNumber"/>
      </w:rPr>
    </w:pPr>
    <w:r>
      <w:rPr>
        <w:rStyle w:val="PageNumber"/>
      </w:rPr>
      <w:fldChar w:fldCharType="begin"/>
    </w:r>
    <w:r w:rsidR="00C2022E">
      <w:rPr>
        <w:rStyle w:val="PageNumber"/>
      </w:rPr>
      <w:instrText xml:space="preserve">PAGE  </w:instrText>
    </w:r>
    <w:r>
      <w:rPr>
        <w:rStyle w:val="PageNumber"/>
      </w:rPr>
      <w:fldChar w:fldCharType="separate"/>
    </w:r>
    <w:r w:rsidR="005F77E7">
      <w:rPr>
        <w:rStyle w:val="PageNumber"/>
        <w:noProof/>
      </w:rPr>
      <w:t>4</w:t>
    </w:r>
    <w:r>
      <w:rPr>
        <w:rStyle w:val="PageNumber"/>
      </w:rPr>
      <w:fldChar w:fldCharType="end"/>
    </w:r>
  </w:p>
  <w:p w:rsidR="00C2022E" w:rsidRDefault="00C2022E" w:rsidP="009D4C5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4D22" w:rsidRDefault="00AF4D22">
      <w:r>
        <w:separator/>
      </w:r>
    </w:p>
  </w:footnote>
  <w:footnote w:type="continuationSeparator" w:id="0">
    <w:p w:rsidR="00AF4D22" w:rsidRDefault="00AF4D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803A8"/>
    <w:multiLevelType w:val="hybridMultilevel"/>
    <w:tmpl w:val="F62CC14A"/>
    <w:lvl w:ilvl="0" w:tplc="E51614C4">
      <w:start w:val="1"/>
      <w:numFmt w:val="bullet"/>
      <w:lvlText w:val=""/>
      <w:lvlJc w:val="left"/>
      <w:pPr>
        <w:ind w:left="1080" w:hanging="360"/>
      </w:pPr>
      <w:rPr>
        <w:rFonts w:ascii="Symbol" w:eastAsia="Times New Roman" w:hAnsi="Symbol" w:hint="default"/>
      </w:rPr>
    </w:lvl>
    <w:lvl w:ilvl="1" w:tplc="042A0003" w:tentative="1">
      <w:start w:val="1"/>
      <w:numFmt w:val="bullet"/>
      <w:lvlText w:val="o"/>
      <w:lvlJc w:val="left"/>
      <w:pPr>
        <w:ind w:left="1800" w:hanging="360"/>
      </w:pPr>
      <w:rPr>
        <w:rFonts w:ascii="Courier New" w:hAnsi="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nsid w:val="07543ECF"/>
    <w:multiLevelType w:val="hybridMultilevel"/>
    <w:tmpl w:val="0B1EE5B4"/>
    <w:lvl w:ilvl="0" w:tplc="D662FC5C">
      <w:start w:val="1"/>
      <w:numFmt w:val="bullet"/>
      <w:lvlText w:val="-"/>
      <w:lvlJc w:val="left"/>
      <w:pPr>
        <w:tabs>
          <w:tab w:val="num" w:pos="1080"/>
        </w:tabs>
        <w:ind w:left="1080" w:hanging="645"/>
      </w:pPr>
      <w:rPr>
        <w:rFonts w:ascii="Times New Roman" w:eastAsia="Times New Roman" w:hAnsi="Times New Roman" w:hint="default"/>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2">
    <w:nsid w:val="08C10D81"/>
    <w:multiLevelType w:val="hybridMultilevel"/>
    <w:tmpl w:val="1ABAD7A6"/>
    <w:lvl w:ilvl="0" w:tplc="1F2C1F32">
      <w:start w:val="1"/>
      <w:numFmt w:val="bullet"/>
      <w:lvlText w:val="-"/>
      <w:lvlJc w:val="left"/>
      <w:pPr>
        <w:ind w:left="1080" w:hanging="360"/>
      </w:pPr>
      <w:rPr>
        <w:rFonts w:ascii="Times New Roman" w:eastAsia="Times New Roman" w:hAnsi="Times New Roman" w:hint="default"/>
        <w:color w:val="000000"/>
      </w:rPr>
    </w:lvl>
    <w:lvl w:ilvl="1" w:tplc="042A0003" w:tentative="1">
      <w:start w:val="1"/>
      <w:numFmt w:val="bullet"/>
      <w:lvlText w:val="o"/>
      <w:lvlJc w:val="left"/>
      <w:pPr>
        <w:ind w:left="1800" w:hanging="360"/>
      </w:pPr>
      <w:rPr>
        <w:rFonts w:ascii="Courier New" w:hAnsi="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
    <w:nsid w:val="08F9736C"/>
    <w:multiLevelType w:val="hybridMultilevel"/>
    <w:tmpl w:val="557849CC"/>
    <w:lvl w:ilvl="0" w:tplc="0604483A">
      <w:start w:val="1"/>
      <w:numFmt w:val="bullet"/>
      <w:lvlText w:val="-"/>
      <w:lvlJc w:val="left"/>
      <w:pPr>
        <w:ind w:left="1080" w:hanging="360"/>
      </w:pPr>
      <w:rPr>
        <w:rFonts w:ascii="Times New Roman" w:eastAsia="Times New Roman" w:hAnsi="Times New Roman" w:hint="default"/>
      </w:rPr>
    </w:lvl>
    <w:lvl w:ilvl="1" w:tplc="042A0003" w:tentative="1">
      <w:start w:val="1"/>
      <w:numFmt w:val="bullet"/>
      <w:lvlText w:val="o"/>
      <w:lvlJc w:val="left"/>
      <w:pPr>
        <w:ind w:left="1800" w:hanging="360"/>
      </w:pPr>
      <w:rPr>
        <w:rFonts w:ascii="Courier New" w:hAnsi="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nsid w:val="0AF2294F"/>
    <w:multiLevelType w:val="hybridMultilevel"/>
    <w:tmpl w:val="22427F82"/>
    <w:lvl w:ilvl="0" w:tplc="111A6482">
      <w:start w:val="1"/>
      <w:numFmt w:val="decimal"/>
      <w:lvlText w:val="%1."/>
      <w:lvlJc w:val="left"/>
      <w:pPr>
        <w:tabs>
          <w:tab w:val="num" w:pos="1440"/>
        </w:tabs>
        <w:ind w:left="1440" w:hanging="360"/>
      </w:pPr>
      <w:rPr>
        <w:rFonts w:ascii="Times New Roman" w:eastAsia="Times New Roman" w:hAnsi="Times New Roman" w:cs="Times New Roman"/>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223A36E6"/>
    <w:multiLevelType w:val="hybridMultilevel"/>
    <w:tmpl w:val="CBBEE1BA"/>
    <w:lvl w:ilvl="0" w:tplc="22A680D4">
      <w:start w:val="2"/>
      <w:numFmt w:val="bullet"/>
      <w:lvlText w:val="-"/>
      <w:lvlJc w:val="left"/>
      <w:pPr>
        <w:tabs>
          <w:tab w:val="num" w:pos="1605"/>
        </w:tabs>
        <w:ind w:left="1605" w:hanging="885"/>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2F74418D"/>
    <w:multiLevelType w:val="hybridMultilevel"/>
    <w:tmpl w:val="83863202"/>
    <w:lvl w:ilvl="0" w:tplc="C0506300">
      <w:start w:val="1"/>
      <w:numFmt w:val="bullet"/>
      <w:lvlText w:val="-"/>
      <w:lvlJc w:val="left"/>
      <w:pPr>
        <w:ind w:left="1440" w:hanging="360"/>
      </w:pPr>
      <w:rPr>
        <w:rFonts w:ascii="Times New Roman" w:eastAsia="Times New Roman" w:hAnsi="Times New Roman" w:hint="default"/>
      </w:rPr>
    </w:lvl>
    <w:lvl w:ilvl="1" w:tplc="042A0003" w:tentative="1">
      <w:start w:val="1"/>
      <w:numFmt w:val="bullet"/>
      <w:lvlText w:val="o"/>
      <w:lvlJc w:val="left"/>
      <w:pPr>
        <w:ind w:left="2160" w:hanging="360"/>
      </w:pPr>
      <w:rPr>
        <w:rFonts w:ascii="Courier New" w:hAnsi="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7">
    <w:nsid w:val="3DFE07C9"/>
    <w:multiLevelType w:val="hybridMultilevel"/>
    <w:tmpl w:val="3CA05056"/>
    <w:lvl w:ilvl="0" w:tplc="B26ED91A">
      <w:start w:val="2"/>
      <w:numFmt w:val="bullet"/>
      <w:lvlText w:val="-"/>
      <w:lvlJc w:val="left"/>
      <w:pPr>
        <w:tabs>
          <w:tab w:val="num" w:pos="1605"/>
        </w:tabs>
        <w:ind w:left="1605" w:hanging="885"/>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40DC75A7"/>
    <w:multiLevelType w:val="hybridMultilevel"/>
    <w:tmpl w:val="608AE2EE"/>
    <w:lvl w:ilvl="0" w:tplc="FD924F3E">
      <w:start w:val="2"/>
      <w:numFmt w:val="lowerLetter"/>
      <w:lvlText w:val="%1)"/>
      <w:lvlJc w:val="left"/>
      <w:pPr>
        <w:ind w:left="1080" w:hanging="360"/>
      </w:pPr>
      <w:rPr>
        <w:rFonts w:cs="Times New Roman" w:hint="default"/>
      </w:rPr>
    </w:lvl>
    <w:lvl w:ilvl="1" w:tplc="042A0019" w:tentative="1">
      <w:start w:val="1"/>
      <w:numFmt w:val="lowerLetter"/>
      <w:lvlText w:val="%2."/>
      <w:lvlJc w:val="left"/>
      <w:pPr>
        <w:ind w:left="1800" w:hanging="360"/>
      </w:pPr>
      <w:rPr>
        <w:rFonts w:cs="Times New Roman"/>
      </w:rPr>
    </w:lvl>
    <w:lvl w:ilvl="2" w:tplc="042A001B" w:tentative="1">
      <w:start w:val="1"/>
      <w:numFmt w:val="lowerRoman"/>
      <w:lvlText w:val="%3."/>
      <w:lvlJc w:val="right"/>
      <w:pPr>
        <w:ind w:left="2520" w:hanging="180"/>
      </w:pPr>
      <w:rPr>
        <w:rFonts w:cs="Times New Roman"/>
      </w:rPr>
    </w:lvl>
    <w:lvl w:ilvl="3" w:tplc="042A000F" w:tentative="1">
      <w:start w:val="1"/>
      <w:numFmt w:val="decimal"/>
      <w:lvlText w:val="%4."/>
      <w:lvlJc w:val="left"/>
      <w:pPr>
        <w:ind w:left="3240" w:hanging="360"/>
      </w:pPr>
      <w:rPr>
        <w:rFonts w:cs="Times New Roman"/>
      </w:rPr>
    </w:lvl>
    <w:lvl w:ilvl="4" w:tplc="042A0019" w:tentative="1">
      <w:start w:val="1"/>
      <w:numFmt w:val="lowerLetter"/>
      <w:lvlText w:val="%5."/>
      <w:lvlJc w:val="left"/>
      <w:pPr>
        <w:ind w:left="3960" w:hanging="360"/>
      </w:pPr>
      <w:rPr>
        <w:rFonts w:cs="Times New Roman"/>
      </w:rPr>
    </w:lvl>
    <w:lvl w:ilvl="5" w:tplc="042A001B" w:tentative="1">
      <w:start w:val="1"/>
      <w:numFmt w:val="lowerRoman"/>
      <w:lvlText w:val="%6."/>
      <w:lvlJc w:val="right"/>
      <w:pPr>
        <w:ind w:left="4680" w:hanging="180"/>
      </w:pPr>
      <w:rPr>
        <w:rFonts w:cs="Times New Roman"/>
      </w:rPr>
    </w:lvl>
    <w:lvl w:ilvl="6" w:tplc="042A000F" w:tentative="1">
      <w:start w:val="1"/>
      <w:numFmt w:val="decimal"/>
      <w:lvlText w:val="%7."/>
      <w:lvlJc w:val="left"/>
      <w:pPr>
        <w:ind w:left="5400" w:hanging="360"/>
      </w:pPr>
      <w:rPr>
        <w:rFonts w:cs="Times New Roman"/>
      </w:rPr>
    </w:lvl>
    <w:lvl w:ilvl="7" w:tplc="042A0019" w:tentative="1">
      <w:start w:val="1"/>
      <w:numFmt w:val="lowerLetter"/>
      <w:lvlText w:val="%8."/>
      <w:lvlJc w:val="left"/>
      <w:pPr>
        <w:ind w:left="6120" w:hanging="360"/>
      </w:pPr>
      <w:rPr>
        <w:rFonts w:cs="Times New Roman"/>
      </w:rPr>
    </w:lvl>
    <w:lvl w:ilvl="8" w:tplc="042A001B" w:tentative="1">
      <w:start w:val="1"/>
      <w:numFmt w:val="lowerRoman"/>
      <w:lvlText w:val="%9."/>
      <w:lvlJc w:val="right"/>
      <w:pPr>
        <w:ind w:left="6840" w:hanging="180"/>
      </w:pPr>
      <w:rPr>
        <w:rFonts w:cs="Times New Roman"/>
      </w:rPr>
    </w:lvl>
  </w:abstractNum>
  <w:abstractNum w:abstractNumId="9">
    <w:nsid w:val="4FB51F53"/>
    <w:multiLevelType w:val="hybridMultilevel"/>
    <w:tmpl w:val="45E84C54"/>
    <w:lvl w:ilvl="0" w:tplc="FAC603F0">
      <w:start w:val="2"/>
      <w:numFmt w:val="decimal"/>
      <w:lvlText w:val="%1."/>
      <w:lvlJc w:val="left"/>
      <w:pPr>
        <w:ind w:left="1080" w:hanging="360"/>
      </w:pPr>
      <w:rPr>
        <w:rFonts w:cs="Times New Roman" w:hint="default"/>
      </w:rPr>
    </w:lvl>
    <w:lvl w:ilvl="1" w:tplc="042A0019" w:tentative="1">
      <w:start w:val="1"/>
      <w:numFmt w:val="lowerLetter"/>
      <w:lvlText w:val="%2."/>
      <w:lvlJc w:val="left"/>
      <w:pPr>
        <w:ind w:left="1800" w:hanging="360"/>
      </w:pPr>
      <w:rPr>
        <w:rFonts w:cs="Times New Roman"/>
      </w:rPr>
    </w:lvl>
    <w:lvl w:ilvl="2" w:tplc="042A001B" w:tentative="1">
      <w:start w:val="1"/>
      <w:numFmt w:val="lowerRoman"/>
      <w:lvlText w:val="%3."/>
      <w:lvlJc w:val="right"/>
      <w:pPr>
        <w:ind w:left="2520" w:hanging="180"/>
      </w:pPr>
      <w:rPr>
        <w:rFonts w:cs="Times New Roman"/>
      </w:rPr>
    </w:lvl>
    <w:lvl w:ilvl="3" w:tplc="042A000F" w:tentative="1">
      <w:start w:val="1"/>
      <w:numFmt w:val="decimal"/>
      <w:lvlText w:val="%4."/>
      <w:lvlJc w:val="left"/>
      <w:pPr>
        <w:ind w:left="3240" w:hanging="360"/>
      </w:pPr>
      <w:rPr>
        <w:rFonts w:cs="Times New Roman"/>
      </w:rPr>
    </w:lvl>
    <w:lvl w:ilvl="4" w:tplc="042A0019" w:tentative="1">
      <w:start w:val="1"/>
      <w:numFmt w:val="lowerLetter"/>
      <w:lvlText w:val="%5."/>
      <w:lvlJc w:val="left"/>
      <w:pPr>
        <w:ind w:left="3960" w:hanging="360"/>
      </w:pPr>
      <w:rPr>
        <w:rFonts w:cs="Times New Roman"/>
      </w:rPr>
    </w:lvl>
    <w:lvl w:ilvl="5" w:tplc="042A001B" w:tentative="1">
      <w:start w:val="1"/>
      <w:numFmt w:val="lowerRoman"/>
      <w:lvlText w:val="%6."/>
      <w:lvlJc w:val="right"/>
      <w:pPr>
        <w:ind w:left="4680" w:hanging="180"/>
      </w:pPr>
      <w:rPr>
        <w:rFonts w:cs="Times New Roman"/>
      </w:rPr>
    </w:lvl>
    <w:lvl w:ilvl="6" w:tplc="042A000F" w:tentative="1">
      <w:start w:val="1"/>
      <w:numFmt w:val="decimal"/>
      <w:lvlText w:val="%7."/>
      <w:lvlJc w:val="left"/>
      <w:pPr>
        <w:ind w:left="5400" w:hanging="360"/>
      </w:pPr>
      <w:rPr>
        <w:rFonts w:cs="Times New Roman"/>
      </w:rPr>
    </w:lvl>
    <w:lvl w:ilvl="7" w:tplc="042A0019" w:tentative="1">
      <w:start w:val="1"/>
      <w:numFmt w:val="lowerLetter"/>
      <w:lvlText w:val="%8."/>
      <w:lvlJc w:val="left"/>
      <w:pPr>
        <w:ind w:left="6120" w:hanging="360"/>
      </w:pPr>
      <w:rPr>
        <w:rFonts w:cs="Times New Roman"/>
      </w:rPr>
    </w:lvl>
    <w:lvl w:ilvl="8" w:tplc="042A001B" w:tentative="1">
      <w:start w:val="1"/>
      <w:numFmt w:val="lowerRoman"/>
      <w:lvlText w:val="%9."/>
      <w:lvlJc w:val="right"/>
      <w:pPr>
        <w:ind w:left="6840" w:hanging="180"/>
      </w:pPr>
      <w:rPr>
        <w:rFonts w:cs="Times New Roman"/>
      </w:rPr>
    </w:lvl>
  </w:abstractNum>
  <w:abstractNum w:abstractNumId="10">
    <w:nsid w:val="50F043B3"/>
    <w:multiLevelType w:val="hybridMultilevel"/>
    <w:tmpl w:val="E1007068"/>
    <w:lvl w:ilvl="0" w:tplc="AC466D34">
      <w:start w:val="1"/>
      <w:numFmt w:val="bullet"/>
      <w:lvlText w:val="-"/>
      <w:lvlJc w:val="left"/>
      <w:pPr>
        <w:ind w:left="1080" w:hanging="360"/>
      </w:pPr>
      <w:rPr>
        <w:rFonts w:ascii="Times New Roman" w:eastAsia="Times New Roman" w:hAnsi="Times New Roman" w:hint="default"/>
      </w:rPr>
    </w:lvl>
    <w:lvl w:ilvl="1" w:tplc="042A0003" w:tentative="1">
      <w:start w:val="1"/>
      <w:numFmt w:val="bullet"/>
      <w:lvlText w:val="o"/>
      <w:lvlJc w:val="left"/>
      <w:pPr>
        <w:ind w:left="1800" w:hanging="360"/>
      </w:pPr>
      <w:rPr>
        <w:rFonts w:ascii="Courier New" w:hAnsi="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1">
    <w:nsid w:val="56CD3A6A"/>
    <w:multiLevelType w:val="hybridMultilevel"/>
    <w:tmpl w:val="6F7C6306"/>
    <w:lvl w:ilvl="0" w:tplc="C3A2968E">
      <w:start w:val="1"/>
      <w:numFmt w:val="decimal"/>
      <w:lvlText w:val="%1."/>
      <w:lvlJc w:val="left"/>
      <w:pPr>
        <w:ind w:left="1080" w:hanging="360"/>
      </w:pPr>
      <w:rPr>
        <w:rFonts w:cs="Times New Roman" w:hint="default"/>
      </w:rPr>
    </w:lvl>
    <w:lvl w:ilvl="1" w:tplc="042A0019" w:tentative="1">
      <w:start w:val="1"/>
      <w:numFmt w:val="lowerLetter"/>
      <w:lvlText w:val="%2."/>
      <w:lvlJc w:val="left"/>
      <w:pPr>
        <w:ind w:left="1800" w:hanging="360"/>
      </w:pPr>
      <w:rPr>
        <w:rFonts w:cs="Times New Roman"/>
      </w:rPr>
    </w:lvl>
    <w:lvl w:ilvl="2" w:tplc="042A001B" w:tentative="1">
      <w:start w:val="1"/>
      <w:numFmt w:val="lowerRoman"/>
      <w:lvlText w:val="%3."/>
      <w:lvlJc w:val="right"/>
      <w:pPr>
        <w:ind w:left="2520" w:hanging="180"/>
      </w:pPr>
      <w:rPr>
        <w:rFonts w:cs="Times New Roman"/>
      </w:rPr>
    </w:lvl>
    <w:lvl w:ilvl="3" w:tplc="042A000F" w:tentative="1">
      <w:start w:val="1"/>
      <w:numFmt w:val="decimal"/>
      <w:lvlText w:val="%4."/>
      <w:lvlJc w:val="left"/>
      <w:pPr>
        <w:ind w:left="3240" w:hanging="360"/>
      </w:pPr>
      <w:rPr>
        <w:rFonts w:cs="Times New Roman"/>
      </w:rPr>
    </w:lvl>
    <w:lvl w:ilvl="4" w:tplc="042A0019" w:tentative="1">
      <w:start w:val="1"/>
      <w:numFmt w:val="lowerLetter"/>
      <w:lvlText w:val="%5."/>
      <w:lvlJc w:val="left"/>
      <w:pPr>
        <w:ind w:left="3960" w:hanging="360"/>
      </w:pPr>
      <w:rPr>
        <w:rFonts w:cs="Times New Roman"/>
      </w:rPr>
    </w:lvl>
    <w:lvl w:ilvl="5" w:tplc="042A001B" w:tentative="1">
      <w:start w:val="1"/>
      <w:numFmt w:val="lowerRoman"/>
      <w:lvlText w:val="%6."/>
      <w:lvlJc w:val="right"/>
      <w:pPr>
        <w:ind w:left="4680" w:hanging="180"/>
      </w:pPr>
      <w:rPr>
        <w:rFonts w:cs="Times New Roman"/>
      </w:rPr>
    </w:lvl>
    <w:lvl w:ilvl="6" w:tplc="042A000F" w:tentative="1">
      <w:start w:val="1"/>
      <w:numFmt w:val="decimal"/>
      <w:lvlText w:val="%7."/>
      <w:lvlJc w:val="left"/>
      <w:pPr>
        <w:ind w:left="5400" w:hanging="360"/>
      </w:pPr>
      <w:rPr>
        <w:rFonts w:cs="Times New Roman"/>
      </w:rPr>
    </w:lvl>
    <w:lvl w:ilvl="7" w:tplc="042A0019" w:tentative="1">
      <w:start w:val="1"/>
      <w:numFmt w:val="lowerLetter"/>
      <w:lvlText w:val="%8."/>
      <w:lvlJc w:val="left"/>
      <w:pPr>
        <w:ind w:left="6120" w:hanging="360"/>
      </w:pPr>
      <w:rPr>
        <w:rFonts w:cs="Times New Roman"/>
      </w:rPr>
    </w:lvl>
    <w:lvl w:ilvl="8" w:tplc="042A001B" w:tentative="1">
      <w:start w:val="1"/>
      <w:numFmt w:val="lowerRoman"/>
      <w:lvlText w:val="%9."/>
      <w:lvlJc w:val="right"/>
      <w:pPr>
        <w:ind w:left="6840" w:hanging="180"/>
      </w:pPr>
      <w:rPr>
        <w:rFonts w:cs="Times New Roman"/>
      </w:rPr>
    </w:lvl>
  </w:abstractNum>
  <w:abstractNum w:abstractNumId="12">
    <w:nsid w:val="64FB4B4E"/>
    <w:multiLevelType w:val="hybridMultilevel"/>
    <w:tmpl w:val="5F00F5F8"/>
    <w:lvl w:ilvl="0" w:tplc="E8ACC1F4">
      <w:numFmt w:val="bullet"/>
      <w:lvlText w:val="-"/>
      <w:lvlJc w:val="left"/>
      <w:pPr>
        <w:ind w:left="1080" w:hanging="360"/>
      </w:pPr>
      <w:rPr>
        <w:rFonts w:ascii="Times New Roman" w:eastAsia="Times New Roman" w:hAnsi="Times New Roman" w:hint="default"/>
      </w:rPr>
    </w:lvl>
    <w:lvl w:ilvl="1" w:tplc="042A0003" w:tentative="1">
      <w:start w:val="1"/>
      <w:numFmt w:val="bullet"/>
      <w:lvlText w:val="o"/>
      <w:lvlJc w:val="left"/>
      <w:pPr>
        <w:ind w:left="1800" w:hanging="360"/>
      </w:pPr>
      <w:rPr>
        <w:rFonts w:ascii="Courier New" w:hAnsi="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3">
    <w:nsid w:val="747B5A98"/>
    <w:multiLevelType w:val="hybridMultilevel"/>
    <w:tmpl w:val="7DCC5C20"/>
    <w:lvl w:ilvl="0" w:tplc="4400402E">
      <w:start w:val="2"/>
      <w:numFmt w:val="lowerLetter"/>
      <w:lvlText w:val="%1)"/>
      <w:lvlJc w:val="left"/>
      <w:pPr>
        <w:ind w:left="1080" w:hanging="360"/>
      </w:pPr>
      <w:rPr>
        <w:rFonts w:cs="Times New Roman" w:hint="default"/>
      </w:rPr>
    </w:lvl>
    <w:lvl w:ilvl="1" w:tplc="042A0019" w:tentative="1">
      <w:start w:val="1"/>
      <w:numFmt w:val="lowerLetter"/>
      <w:lvlText w:val="%2."/>
      <w:lvlJc w:val="left"/>
      <w:pPr>
        <w:ind w:left="1800" w:hanging="360"/>
      </w:pPr>
      <w:rPr>
        <w:rFonts w:cs="Times New Roman"/>
      </w:rPr>
    </w:lvl>
    <w:lvl w:ilvl="2" w:tplc="042A001B" w:tentative="1">
      <w:start w:val="1"/>
      <w:numFmt w:val="lowerRoman"/>
      <w:lvlText w:val="%3."/>
      <w:lvlJc w:val="right"/>
      <w:pPr>
        <w:ind w:left="2520" w:hanging="180"/>
      </w:pPr>
      <w:rPr>
        <w:rFonts w:cs="Times New Roman"/>
      </w:rPr>
    </w:lvl>
    <w:lvl w:ilvl="3" w:tplc="042A000F" w:tentative="1">
      <w:start w:val="1"/>
      <w:numFmt w:val="decimal"/>
      <w:lvlText w:val="%4."/>
      <w:lvlJc w:val="left"/>
      <w:pPr>
        <w:ind w:left="3240" w:hanging="360"/>
      </w:pPr>
      <w:rPr>
        <w:rFonts w:cs="Times New Roman"/>
      </w:rPr>
    </w:lvl>
    <w:lvl w:ilvl="4" w:tplc="042A0019" w:tentative="1">
      <w:start w:val="1"/>
      <w:numFmt w:val="lowerLetter"/>
      <w:lvlText w:val="%5."/>
      <w:lvlJc w:val="left"/>
      <w:pPr>
        <w:ind w:left="3960" w:hanging="360"/>
      </w:pPr>
      <w:rPr>
        <w:rFonts w:cs="Times New Roman"/>
      </w:rPr>
    </w:lvl>
    <w:lvl w:ilvl="5" w:tplc="042A001B" w:tentative="1">
      <w:start w:val="1"/>
      <w:numFmt w:val="lowerRoman"/>
      <w:lvlText w:val="%6."/>
      <w:lvlJc w:val="right"/>
      <w:pPr>
        <w:ind w:left="4680" w:hanging="180"/>
      </w:pPr>
      <w:rPr>
        <w:rFonts w:cs="Times New Roman"/>
      </w:rPr>
    </w:lvl>
    <w:lvl w:ilvl="6" w:tplc="042A000F" w:tentative="1">
      <w:start w:val="1"/>
      <w:numFmt w:val="decimal"/>
      <w:lvlText w:val="%7."/>
      <w:lvlJc w:val="left"/>
      <w:pPr>
        <w:ind w:left="5400" w:hanging="360"/>
      </w:pPr>
      <w:rPr>
        <w:rFonts w:cs="Times New Roman"/>
      </w:rPr>
    </w:lvl>
    <w:lvl w:ilvl="7" w:tplc="042A0019" w:tentative="1">
      <w:start w:val="1"/>
      <w:numFmt w:val="lowerLetter"/>
      <w:lvlText w:val="%8."/>
      <w:lvlJc w:val="left"/>
      <w:pPr>
        <w:ind w:left="6120" w:hanging="360"/>
      </w:pPr>
      <w:rPr>
        <w:rFonts w:cs="Times New Roman"/>
      </w:rPr>
    </w:lvl>
    <w:lvl w:ilvl="8" w:tplc="042A001B" w:tentative="1">
      <w:start w:val="1"/>
      <w:numFmt w:val="lowerRoman"/>
      <w:lvlText w:val="%9."/>
      <w:lvlJc w:val="right"/>
      <w:pPr>
        <w:ind w:left="6840" w:hanging="180"/>
      </w:pPr>
      <w:rPr>
        <w:rFonts w:cs="Times New Roman"/>
      </w:rPr>
    </w:lvl>
  </w:abstractNum>
  <w:abstractNum w:abstractNumId="14">
    <w:nsid w:val="7B9B4940"/>
    <w:multiLevelType w:val="hybridMultilevel"/>
    <w:tmpl w:val="6046FC22"/>
    <w:lvl w:ilvl="0" w:tplc="1952B348">
      <w:start w:val="1"/>
      <w:numFmt w:val="bullet"/>
      <w:lvlText w:val="-"/>
      <w:lvlJc w:val="left"/>
      <w:pPr>
        <w:ind w:left="1080" w:hanging="360"/>
      </w:pPr>
      <w:rPr>
        <w:rFonts w:ascii="Times New Roman" w:eastAsia="Times New Roman" w:hAnsi="Times New Roman" w:hint="default"/>
        <w:color w:val="000000"/>
      </w:rPr>
    </w:lvl>
    <w:lvl w:ilvl="1" w:tplc="042A0003" w:tentative="1">
      <w:start w:val="1"/>
      <w:numFmt w:val="bullet"/>
      <w:lvlText w:val="o"/>
      <w:lvlJc w:val="left"/>
      <w:pPr>
        <w:ind w:left="1800" w:hanging="360"/>
      </w:pPr>
      <w:rPr>
        <w:rFonts w:ascii="Courier New" w:hAnsi="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5">
    <w:nsid w:val="7FC460E6"/>
    <w:multiLevelType w:val="hybridMultilevel"/>
    <w:tmpl w:val="40D6AE0A"/>
    <w:lvl w:ilvl="0" w:tplc="21A4DB0E">
      <w:start w:val="2"/>
      <w:numFmt w:val="lowerLetter"/>
      <w:lvlText w:val="%1)"/>
      <w:lvlJc w:val="left"/>
      <w:pPr>
        <w:ind w:left="1080" w:hanging="360"/>
      </w:pPr>
      <w:rPr>
        <w:rFonts w:cs="Times New Roman" w:hint="default"/>
      </w:rPr>
    </w:lvl>
    <w:lvl w:ilvl="1" w:tplc="042A0019" w:tentative="1">
      <w:start w:val="1"/>
      <w:numFmt w:val="lowerLetter"/>
      <w:lvlText w:val="%2."/>
      <w:lvlJc w:val="left"/>
      <w:pPr>
        <w:ind w:left="1800" w:hanging="360"/>
      </w:pPr>
      <w:rPr>
        <w:rFonts w:cs="Times New Roman"/>
      </w:rPr>
    </w:lvl>
    <w:lvl w:ilvl="2" w:tplc="042A001B" w:tentative="1">
      <w:start w:val="1"/>
      <w:numFmt w:val="lowerRoman"/>
      <w:lvlText w:val="%3."/>
      <w:lvlJc w:val="right"/>
      <w:pPr>
        <w:ind w:left="2520" w:hanging="180"/>
      </w:pPr>
      <w:rPr>
        <w:rFonts w:cs="Times New Roman"/>
      </w:rPr>
    </w:lvl>
    <w:lvl w:ilvl="3" w:tplc="042A000F" w:tentative="1">
      <w:start w:val="1"/>
      <w:numFmt w:val="decimal"/>
      <w:lvlText w:val="%4."/>
      <w:lvlJc w:val="left"/>
      <w:pPr>
        <w:ind w:left="3240" w:hanging="360"/>
      </w:pPr>
      <w:rPr>
        <w:rFonts w:cs="Times New Roman"/>
      </w:rPr>
    </w:lvl>
    <w:lvl w:ilvl="4" w:tplc="042A0019" w:tentative="1">
      <w:start w:val="1"/>
      <w:numFmt w:val="lowerLetter"/>
      <w:lvlText w:val="%5."/>
      <w:lvlJc w:val="left"/>
      <w:pPr>
        <w:ind w:left="3960" w:hanging="360"/>
      </w:pPr>
      <w:rPr>
        <w:rFonts w:cs="Times New Roman"/>
      </w:rPr>
    </w:lvl>
    <w:lvl w:ilvl="5" w:tplc="042A001B" w:tentative="1">
      <w:start w:val="1"/>
      <w:numFmt w:val="lowerRoman"/>
      <w:lvlText w:val="%6."/>
      <w:lvlJc w:val="right"/>
      <w:pPr>
        <w:ind w:left="4680" w:hanging="180"/>
      </w:pPr>
      <w:rPr>
        <w:rFonts w:cs="Times New Roman"/>
      </w:rPr>
    </w:lvl>
    <w:lvl w:ilvl="6" w:tplc="042A000F" w:tentative="1">
      <w:start w:val="1"/>
      <w:numFmt w:val="decimal"/>
      <w:lvlText w:val="%7."/>
      <w:lvlJc w:val="left"/>
      <w:pPr>
        <w:ind w:left="5400" w:hanging="360"/>
      </w:pPr>
      <w:rPr>
        <w:rFonts w:cs="Times New Roman"/>
      </w:rPr>
    </w:lvl>
    <w:lvl w:ilvl="7" w:tplc="042A0019" w:tentative="1">
      <w:start w:val="1"/>
      <w:numFmt w:val="lowerLetter"/>
      <w:lvlText w:val="%8."/>
      <w:lvlJc w:val="left"/>
      <w:pPr>
        <w:ind w:left="6120" w:hanging="360"/>
      </w:pPr>
      <w:rPr>
        <w:rFonts w:cs="Times New Roman"/>
      </w:rPr>
    </w:lvl>
    <w:lvl w:ilvl="8" w:tplc="042A001B" w:tentative="1">
      <w:start w:val="1"/>
      <w:numFmt w:val="lowerRoman"/>
      <w:lvlText w:val="%9."/>
      <w:lvlJc w:val="right"/>
      <w:pPr>
        <w:ind w:left="6840" w:hanging="180"/>
      </w:pPr>
      <w:rPr>
        <w:rFonts w:cs="Times New Roman"/>
      </w:rPr>
    </w:lvl>
  </w:abstractNum>
  <w:num w:numId="1">
    <w:abstractNumId w:val="7"/>
  </w:num>
  <w:num w:numId="2">
    <w:abstractNumId w:val="5"/>
  </w:num>
  <w:num w:numId="3">
    <w:abstractNumId w:val="4"/>
  </w:num>
  <w:num w:numId="4">
    <w:abstractNumId w:val="1"/>
  </w:num>
  <w:num w:numId="5">
    <w:abstractNumId w:val="11"/>
  </w:num>
  <w:num w:numId="6">
    <w:abstractNumId w:val="6"/>
  </w:num>
  <w:num w:numId="7">
    <w:abstractNumId w:val="10"/>
  </w:num>
  <w:num w:numId="8">
    <w:abstractNumId w:val="2"/>
  </w:num>
  <w:num w:numId="9">
    <w:abstractNumId w:val="14"/>
  </w:num>
  <w:num w:numId="10">
    <w:abstractNumId w:val="0"/>
  </w:num>
  <w:num w:numId="11">
    <w:abstractNumId w:val="9"/>
  </w:num>
  <w:num w:numId="12">
    <w:abstractNumId w:val="3"/>
  </w:num>
  <w:num w:numId="13">
    <w:abstractNumId w:val="15"/>
  </w:num>
  <w:num w:numId="14">
    <w:abstractNumId w:val="8"/>
  </w:num>
  <w:num w:numId="15">
    <w:abstractNumId w:val="12"/>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drawingGridHorizontalSpacing w:val="140"/>
  <w:drawingGridVerticalSpacing w:val="381"/>
  <w:displayHorizontalDrawingGridEvery w:val="2"/>
  <w:noPunctuationKerning/>
  <w:characterSpacingControl w:val="doNotCompress"/>
  <w:footnotePr>
    <w:footnote w:id="-1"/>
    <w:footnote w:id="0"/>
  </w:footnotePr>
  <w:endnotePr>
    <w:endnote w:id="-1"/>
    <w:endnote w:id="0"/>
  </w:endnotePr>
  <w:compat/>
  <w:rsids>
    <w:rsidRoot w:val="00370DFA"/>
    <w:rsid w:val="00007AFA"/>
    <w:rsid w:val="00015277"/>
    <w:rsid w:val="00026AEF"/>
    <w:rsid w:val="00056E81"/>
    <w:rsid w:val="0007176A"/>
    <w:rsid w:val="000723E9"/>
    <w:rsid w:val="00083C44"/>
    <w:rsid w:val="00083F18"/>
    <w:rsid w:val="000A4649"/>
    <w:rsid w:val="000C2333"/>
    <w:rsid w:val="000D0D8B"/>
    <w:rsid w:val="000F0502"/>
    <w:rsid w:val="00103C2C"/>
    <w:rsid w:val="00131201"/>
    <w:rsid w:val="00150A5A"/>
    <w:rsid w:val="001561B4"/>
    <w:rsid w:val="001611E2"/>
    <w:rsid w:val="001717FA"/>
    <w:rsid w:val="00191D66"/>
    <w:rsid w:val="001C45B3"/>
    <w:rsid w:val="001C59AD"/>
    <w:rsid w:val="001D6343"/>
    <w:rsid w:val="001E02C2"/>
    <w:rsid w:val="001E0E4D"/>
    <w:rsid w:val="00207A5B"/>
    <w:rsid w:val="00210B5D"/>
    <w:rsid w:val="00224EE9"/>
    <w:rsid w:val="00242BAB"/>
    <w:rsid w:val="0026035D"/>
    <w:rsid w:val="0026134E"/>
    <w:rsid w:val="00263CAD"/>
    <w:rsid w:val="00270A6E"/>
    <w:rsid w:val="0028450A"/>
    <w:rsid w:val="00290878"/>
    <w:rsid w:val="00293E6E"/>
    <w:rsid w:val="002A0658"/>
    <w:rsid w:val="002C0BD2"/>
    <w:rsid w:val="002C11CD"/>
    <w:rsid w:val="00315F80"/>
    <w:rsid w:val="003236DF"/>
    <w:rsid w:val="00332121"/>
    <w:rsid w:val="003321AD"/>
    <w:rsid w:val="00334E45"/>
    <w:rsid w:val="00336EE5"/>
    <w:rsid w:val="00363011"/>
    <w:rsid w:val="00367991"/>
    <w:rsid w:val="0037080F"/>
    <w:rsid w:val="00370DFA"/>
    <w:rsid w:val="003853DF"/>
    <w:rsid w:val="0039424A"/>
    <w:rsid w:val="003C0C66"/>
    <w:rsid w:val="003C3DEE"/>
    <w:rsid w:val="003F1952"/>
    <w:rsid w:val="003F5989"/>
    <w:rsid w:val="00404A0B"/>
    <w:rsid w:val="00430A54"/>
    <w:rsid w:val="00454B34"/>
    <w:rsid w:val="00491E2B"/>
    <w:rsid w:val="004956F8"/>
    <w:rsid w:val="004A069C"/>
    <w:rsid w:val="004B08D3"/>
    <w:rsid w:val="004B2098"/>
    <w:rsid w:val="004B468F"/>
    <w:rsid w:val="004B7845"/>
    <w:rsid w:val="004C3911"/>
    <w:rsid w:val="004D0578"/>
    <w:rsid w:val="004E73C1"/>
    <w:rsid w:val="00506016"/>
    <w:rsid w:val="00506BAF"/>
    <w:rsid w:val="0051360A"/>
    <w:rsid w:val="005333EE"/>
    <w:rsid w:val="0056677C"/>
    <w:rsid w:val="0058396C"/>
    <w:rsid w:val="005A79EA"/>
    <w:rsid w:val="005C7F14"/>
    <w:rsid w:val="005E3C94"/>
    <w:rsid w:val="005F77E7"/>
    <w:rsid w:val="0060221F"/>
    <w:rsid w:val="00634AD5"/>
    <w:rsid w:val="00641AC0"/>
    <w:rsid w:val="00661DB3"/>
    <w:rsid w:val="00681614"/>
    <w:rsid w:val="006924AD"/>
    <w:rsid w:val="006C4BB1"/>
    <w:rsid w:val="006C73B3"/>
    <w:rsid w:val="006E4A4E"/>
    <w:rsid w:val="006F1D16"/>
    <w:rsid w:val="006F657F"/>
    <w:rsid w:val="0070686F"/>
    <w:rsid w:val="00712588"/>
    <w:rsid w:val="00745218"/>
    <w:rsid w:val="00762644"/>
    <w:rsid w:val="0078535E"/>
    <w:rsid w:val="0079546A"/>
    <w:rsid w:val="007A3A89"/>
    <w:rsid w:val="007A4384"/>
    <w:rsid w:val="007B5EFC"/>
    <w:rsid w:val="007E2DA8"/>
    <w:rsid w:val="00811EB9"/>
    <w:rsid w:val="0086277A"/>
    <w:rsid w:val="00864477"/>
    <w:rsid w:val="008C73EC"/>
    <w:rsid w:val="008D362C"/>
    <w:rsid w:val="008E0CC4"/>
    <w:rsid w:val="008F3445"/>
    <w:rsid w:val="008F458D"/>
    <w:rsid w:val="009257F9"/>
    <w:rsid w:val="009326D9"/>
    <w:rsid w:val="00942539"/>
    <w:rsid w:val="00944F6A"/>
    <w:rsid w:val="009540A7"/>
    <w:rsid w:val="00955060"/>
    <w:rsid w:val="009702DE"/>
    <w:rsid w:val="0097248F"/>
    <w:rsid w:val="0098488D"/>
    <w:rsid w:val="00995845"/>
    <w:rsid w:val="0099711A"/>
    <w:rsid w:val="009D025B"/>
    <w:rsid w:val="009D4C5B"/>
    <w:rsid w:val="009D6084"/>
    <w:rsid w:val="00A10BFA"/>
    <w:rsid w:val="00A133BF"/>
    <w:rsid w:val="00A138E5"/>
    <w:rsid w:val="00A266B6"/>
    <w:rsid w:val="00A30F81"/>
    <w:rsid w:val="00A5053C"/>
    <w:rsid w:val="00A5759E"/>
    <w:rsid w:val="00A80432"/>
    <w:rsid w:val="00A84455"/>
    <w:rsid w:val="00A846D4"/>
    <w:rsid w:val="00A85E9B"/>
    <w:rsid w:val="00AB0B6D"/>
    <w:rsid w:val="00AB4E4F"/>
    <w:rsid w:val="00AF4292"/>
    <w:rsid w:val="00AF4D22"/>
    <w:rsid w:val="00B00950"/>
    <w:rsid w:val="00B10548"/>
    <w:rsid w:val="00B23127"/>
    <w:rsid w:val="00B26568"/>
    <w:rsid w:val="00B27F69"/>
    <w:rsid w:val="00B43DC9"/>
    <w:rsid w:val="00B640D1"/>
    <w:rsid w:val="00B75A65"/>
    <w:rsid w:val="00B9222F"/>
    <w:rsid w:val="00BA031D"/>
    <w:rsid w:val="00BA5835"/>
    <w:rsid w:val="00BB05CB"/>
    <w:rsid w:val="00BF02E3"/>
    <w:rsid w:val="00C2022E"/>
    <w:rsid w:val="00C24A57"/>
    <w:rsid w:val="00C27C06"/>
    <w:rsid w:val="00C42CDE"/>
    <w:rsid w:val="00C45F92"/>
    <w:rsid w:val="00C60D78"/>
    <w:rsid w:val="00C6268B"/>
    <w:rsid w:val="00C94989"/>
    <w:rsid w:val="00C95F33"/>
    <w:rsid w:val="00C96B58"/>
    <w:rsid w:val="00CB75CA"/>
    <w:rsid w:val="00CD06C2"/>
    <w:rsid w:val="00CD40E1"/>
    <w:rsid w:val="00CF2192"/>
    <w:rsid w:val="00CF3C8F"/>
    <w:rsid w:val="00D10D03"/>
    <w:rsid w:val="00D23C3C"/>
    <w:rsid w:val="00D25F46"/>
    <w:rsid w:val="00D44C17"/>
    <w:rsid w:val="00D60AE1"/>
    <w:rsid w:val="00D91972"/>
    <w:rsid w:val="00DB4D69"/>
    <w:rsid w:val="00DD572B"/>
    <w:rsid w:val="00DE0168"/>
    <w:rsid w:val="00DF6E82"/>
    <w:rsid w:val="00E0309D"/>
    <w:rsid w:val="00E321A7"/>
    <w:rsid w:val="00E414C4"/>
    <w:rsid w:val="00E50B46"/>
    <w:rsid w:val="00E71D1C"/>
    <w:rsid w:val="00E842FA"/>
    <w:rsid w:val="00E96AC8"/>
    <w:rsid w:val="00EA6F03"/>
    <w:rsid w:val="00EB25C1"/>
    <w:rsid w:val="00EC31EC"/>
    <w:rsid w:val="00EE0580"/>
    <w:rsid w:val="00F06068"/>
    <w:rsid w:val="00F1050D"/>
    <w:rsid w:val="00F11CC8"/>
    <w:rsid w:val="00F22E23"/>
    <w:rsid w:val="00F342D8"/>
    <w:rsid w:val="00F43AA3"/>
    <w:rsid w:val="00F510A8"/>
    <w:rsid w:val="00F546FD"/>
    <w:rsid w:val="00F72618"/>
    <w:rsid w:val="00F9228B"/>
    <w:rsid w:val="00FA2233"/>
    <w:rsid w:val="00FF605B"/>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7170"/>
    <o:shapelayout v:ext="edit">
      <o:idmap v:ext="edit" data="1"/>
      <o:rules v:ext="edit">
        <o:r id="V:Rule4" type="connector" idref="#_x0000_s1027"/>
        <o:r id="V:Rule5" type="connector" idref="#_x0000_s1026"/>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80F"/>
    <w:rPr>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561B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1561B4"/>
    <w:pPr>
      <w:spacing w:before="100" w:beforeAutospacing="1" w:after="100" w:afterAutospacing="1"/>
    </w:pPr>
    <w:rPr>
      <w:sz w:val="24"/>
      <w:szCs w:val="24"/>
    </w:rPr>
  </w:style>
  <w:style w:type="character" w:styleId="Strong">
    <w:name w:val="Strong"/>
    <w:basedOn w:val="DefaultParagraphFont"/>
    <w:uiPriority w:val="99"/>
    <w:qFormat/>
    <w:rsid w:val="001561B4"/>
    <w:rPr>
      <w:rFonts w:cs="Times New Roman"/>
      <w:b/>
      <w:bCs/>
    </w:rPr>
  </w:style>
  <w:style w:type="paragraph" w:customStyle="1" w:styleId="CharCharCharCharCharCharChar">
    <w:name w:val="Char Char Char Char Char Char Char"/>
    <w:basedOn w:val="Normal"/>
    <w:next w:val="Normal"/>
    <w:autoRedefine/>
    <w:uiPriority w:val="99"/>
    <w:semiHidden/>
    <w:rsid w:val="00F11CC8"/>
    <w:pPr>
      <w:spacing w:before="120" w:after="120" w:line="312" w:lineRule="auto"/>
    </w:pPr>
  </w:style>
  <w:style w:type="paragraph" w:styleId="Footer">
    <w:name w:val="footer"/>
    <w:basedOn w:val="Normal"/>
    <w:link w:val="FooterChar"/>
    <w:uiPriority w:val="99"/>
    <w:rsid w:val="009D4C5B"/>
    <w:pPr>
      <w:tabs>
        <w:tab w:val="center" w:pos="4153"/>
        <w:tab w:val="right" w:pos="8306"/>
      </w:tabs>
    </w:pPr>
  </w:style>
  <w:style w:type="character" w:customStyle="1" w:styleId="FooterChar">
    <w:name w:val="Footer Char"/>
    <w:basedOn w:val="DefaultParagraphFont"/>
    <w:link w:val="Footer"/>
    <w:uiPriority w:val="99"/>
    <w:semiHidden/>
    <w:rsid w:val="00302821"/>
    <w:rPr>
      <w:sz w:val="28"/>
      <w:szCs w:val="28"/>
      <w:lang w:val="en-US" w:eastAsia="en-US"/>
    </w:rPr>
  </w:style>
  <w:style w:type="character" w:styleId="PageNumber">
    <w:name w:val="page number"/>
    <w:basedOn w:val="DefaultParagraphFont"/>
    <w:uiPriority w:val="99"/>
    <w:rsid w:val="009D4C5B"/>
    <w:rPr>
      <w:rFonts w:cs="Times New Roman"/>
    </w:rPr>
  </w:style>
  <w:style w:type="character" w:customStyle="1" w:styleId="apple-converted-space">
    <w:name w:val="apple-converted-space"/>
    <w:basedOn w:val="DefaultParagraphFont"/>
    <w:rsid w:val="00C42CDE"/>
    <w:rPr>
      <w:rFonts w:cs="Times New Roman"/>
    </w:rPr>
  </w:style>
  <w:style w:type="character" w:styleId="Hyperlink">
    <w:name w:val="Hyperlink"/>
    <w:basedOn w:val="DefaultParagraphFont"/>
    <w:uiPriority w:val="99"/>
    <w:semiHidden/>
    <w:unhideWhenUsed/>
    <w:rsid w:val="00C42CDE"/>
    <w:rPr>
      <w:color w:val="0000FF"/>
      <w:u w:val="single"/>
    </w:rPr>
  </w:style>
</w:styles>
</file>

<file path=word/webSettings.xml><?xml version="1.0" encoding="utf-8"?>
<w:webSettings xmlns:r="http://schemas.openxmlformats.org/officeDocument/2006/relationships" xmlns:w="http://schemas.openxmlformats.org/wordprocessingml/2006/main">
  <w:divs>
    <w:div w:id="7787960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thuvienphapluat.vn/van-ban/xay-dung-do-thi/quyet-dinh-2081-qd-ttg-nam-2013-phe-duyet-chuong-trinh-cap-dien-nong-thon-mien-nui-hai-dao-213157.aspx"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348B57-19AB-451D-BF28-169862AF4D61}"/>
</file>

<file path=customXml/itemProps2.xml><?xml version="1.0" encoding="utf-8"?>
<ds:datastoreItem xmlns:ds="http://schemas.openxmlformats.org/officeDocument/2006/customXml" ds:itemID="{C6B17FD9-F32A-4C19-8183-219A34E930BC}"/>
</file>

<file path=customXml/itemProps3.xml><?xml version="1.0" encoding="utf-8"?>
<ds:datastoreItem xmlns:ds="http://schemas.openxmlformats.org/officeDocument/2006/customXml" ds:itemID="{F3101D08-1D39-495D-8C36-785D82336437}"/>
</file>

<file path=docProps/app.xml><?xml version="1.0" encoding="utf-8"?>
<Properties xmlns="http://schemas.openxmlformats.org/officeDocument/2006/extended-properties" xmlns:vt="http://schemas.openxmlformats.org/officeDocument/2006/docPropsVTypes">
  <Template>Normal</Template>
  <TotalTime>2</TotalTime>
  <Pages>4</Pages>
  <Words>1097</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CỤC TÀI CHÍNH DOANH NGHIỆP</vt:lpstr>
    </vt:vector>
  </TitlesOfParts>
  <Company>VPBTC</Company>
  <LinksUpToDate>false</LinksUpToDate>
  <CharactersWithSpaces>7336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CỤC TÀI CHÍNH DOANH NGHIỆP</dc:title>
  <dc:creator>VPBTC</dc:creator>
  <cp:lastModifiedBy>lethuylinh2</cp:lastModifiedBy>
  <cp:revision>7</cp:revision>
  <cp:lastPrinted>2019-11-28T03:37:00Z</cp:lastPrinted>
  <dcterms:created xsi:type="dcterms:W3CDTF">2020-01-02T04:23:00Z</dcterms:created>
  <dcterms:modified xsi:type="dcterms:W3CDTF">2020-01-15T07:50:00Z</dcterms:modified>
</cp:coreProperties>
</file>